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61F" w:rsidRDefault="00A5512A" w:rsidP="00FD7C5D">
      <w:pPr>
        <w:jc w:val="right"/>
      </w:pPr>
      <w:r>
        <w:t>1</w:t>
      </w:r>
      <w:r w:rsidR="00FD7C5D">
        <w:t>.pielikums</w:t>
      </w:r>
    </w:p>
    <w:p w:rsidR="00FD7C5D" w:rsidRDefault="000D6232" w:rsidP="000D6232">
      <w:pPr>
        <w:autoSpaceDE w:val="0"/>
        <w:autoSpaceDN w:val="0"/>
        <w:adjustRightInd w:val="0"/>
        <w:spacing w:after="0" w:line="240" w:lineRule="auto"/>
        <w:jc w:val="center"/>
        <w:rPr>
          <w:b/>
          <w:sz w:val="28"/>
          <w:szCs w:val="28"/>
        </w:rPr>
      </w:pPr>
      <w:r w:rsidRPr="000D6232">
        <w:rPr>
          <w:b/>
          <w:sz w:val="28"/>
          <w:szCs w:val="28"/>
        </w:rPr>
        <w:t>Vadlīniju izstrādes pamatojošie tiesību akti un citi saistošie dokumenti</w:t>
      </w:r>
    </w:p>
    <w:p w:rsidR="006714B8" w:rsidRDefault="006714B8" w:rsidP="000D6232">
      <w:pPr>
        <w:autoSpaceDE w:val="0"/>
        <w:autoSpaceDN w:val="0"/>
        <w:adjustRightInd w:val="0"/>
        <w:spacing w:after="0" w:line="240" w:lineRule="auto"/>
        <w:jc w:val="center"/>
      </w:pPr>
    </w:p>
    <w:p w:rsidR="00E14009" w:rsidRPr="00E14009" w:rsidRDefault="00E14009" w:rsidP="006714B8">
      <w:pPr>
        <w:pStyle w:val="NormalWeb"/>
        <w:numPr>
          <w:ilvl w:val="2"/>
          <w:numId w:val="1"/>
        </w:numPr>
        <w:tabs>
          <w:tab w:val="clear" w:pos="720"/>
        </w:tabs>
        <w:spacing w:line="276" w:lineRule="auto"/>
        <w:ind w:left="426" w:hanging="426"/>
        <w:jc w:val="both"/>
      </w:pPr>
      <w:r w:rsidRPr="00E14009">
        <w:t xml:space="preserve">Eiropas Parlamenta un Padomes </w:t>
      </w:r>
      <w:r w:rsidR="00A60B19">
        <w:t>2013.gada 17.decembra</w:t>
      </w:r>
      <w:r w:rsidR="00A60B19" w:rsidRPr="00E14009">
        <w:t xml:space="preserve"> </w:t>
      </w:r>
      <w:r w:rsidRPr="00E14009">
        <w:t>Regula (ES) Nr.1303/2013, ar ko paredz kopīgus noteikumus par Eiropas Reģionālās attīstības fondu, Eiropas Sociālo fondu, Kohēzijas fondu, Eiropas Lauksaimniecības fondu lauku attīstībai un Eiropas Jūrlietu un zivsaimniecības fondu un vispārīgus noteikumus par Eiropas Reģionālās attīstības fondu, Eiropas Sociālo fondu, Kohēzijas fondu un Eiropas Jūrlietu un zivsaimniecības fondu un atceļ Padomes Regulu (EK) Nr.1083/2006;</w:t>
      </w:r>
    </w:p>
    <w:p w:rsidR="00E54427" w:rsidRDefault="00E54427" w:rsidP="006714B8">
      <w:pPr>
        <w:pStyle w:val="NormalWeb"/>
        <w:numPr>
          <w:ilvl w:val="2"/>
          <w:numId w:val="1"/>
        </w:numPr>
        <w:tabs>
          <w:tab w:val="clear" w:pos="720"/>
        </w:tabs>
        <w:spacing w:line="276" w:lineRule="auto"/>
        <w:ind w:left="426" w:hanging="426"/>
        <w:jc w:val="both"/>
      </w:pPr>
      <w:r w:rsidRPr="00896CBC">
        <w:t xml:space="preserve">Eiropas Parlamenta un Padomes 2012.gada 25.oktobra </w:t>
      </w:r>
      <w:r w:rsidR="00A60B19">
        <w:t>R</w:t>
      </w:r>
      <w:r w:rsidRPr="00896CBC">
        <w:t>egula Nr.966/2012 par finanšu noteikumiem, ko piemēro Savienības vispārējam budžetam, un par Padomes Regulas Nr.1605/2002 atcelšanu;</w:t>
      </w:r>
    </w:p>
    <w:p w:rsidR="001D0800" w:rsidRDefault="001D0800" w:rsidP="006714B8">
      <w:pPr>
        <w:pStyle w:val="NormalWeb"/>
        <w:numPr>
          <w:ilvl w:val="2"/>
          <w:numId w:val="1"/>
        </w:numPr>
        <w:tabs>
          <w:tab w:val="clear" w:pos="720"/>
        </w:tabs>
        <w:spacing w:line="276" w:lineRule="auto"/>
        <w:ind w:left="426" w:hanging="426"/>
        <w:jc w:val="both"/>
      </w:pPr>
      <w:r w:rsidRPr="001D0800">
        <w:t xml:space="preserve">Padomes </w:t>
      </w:r>
      <w:r w:rsidR="00A60B19">
        <w:t>1995.gada 18.decembra</w:t>
      </w:r>
      <w:r w:rsidR="00A60B19" w:rsidRPr="001D0800">
        <w:t xml:space="preserve"> </w:t>
      </w:r>
      <w:r w:rsidRPr="001D0800">
        <w:t xml:space="preserve">Regula (EK, Euratom) Nr.2988/95 </w:t>
      </w:r>
      <w:r w:rsidR="00B86CAE">
        <w:t xml:space="preserve"> </w:t>
      </w:r>
      <w:r w:rsidRPr="001D0800">
        <w:t>par Eiropas Kopienu finanšu interešu aizsardzību</w:t>
      </w:r>
      <w:r>
        <w:t>;</w:t>
      </w:r>
    </w:p>
    <w:p w:rsidR="00400BB5" w:rsidRPr="00DE1E07" w:rsidRDefault="001D3D9B" w:rsidP="006714B8">
      <w:pPr>
        <w:numPr>
          <w:ilvl w:val="2"/>
          <w:numId w:val="1"/>
        </w:numPr>
        <w:tabs>
          <w:tab w:val="clear" w:pos="720"/>
        </w:tabs>
        <w:ind w:left="426" w:hanging="426"/>
        <w:jc w:val="both"/>
        <w:rPr>
          <w:rFonts w:eastAsia="Times New Roman"/>
          <w:szCs w:val="24"/>
          <w:lang w:eastAsia="lv-LV"/>
        </w:rPr>
      </w:pPr>
      <w:r w:rsidRPr="00896CBC">
        <w:t xml:space="preserve">Eiropas Parlamenta un Padomes </w:t>
      </w:r>
      <w:r>
        <w:rPr>
          <w:rFonts w:eastAsia="Times New Roman"/>
          <w:szCs w:val="24"/>
          <w:lang w:eastAsia="lv-LV"/>
        </w:rPr>
        <w:t>2015.</w:t>
      </w:r>
      <w:r w:rsidRPr="001D3D9B">
        <w:rPr>
          <w:rFonts w:eastAsia="Times New Roman"/>
          <w:szCs w:val="24"/>
          <w:lang w:eastAsia="lv-LV"/>
        </w:rPr>
        <w:t>gada 20.maij</w:t>
      </w:r>
      <w:r>
        <w:rPr>
          <w:rFonts w:eastAsia="Times New Roman"/>
          <w:szCs w:val="24"/>
          <w:lang w:eastAsia="lv-LV"/>
        </w:rPr>
        <w:t>a</w:t>
      </w:r>
      <w:r>
        <w:t xml:space="preserve"> Regula </w:t>
      </w:r>
      <w:r w:rsidRPr="001D3D9B">
        <w:rPr>
          <w:rFonts w:eastAsia="Times New Roman"/>
          <w:szCs w:val="24"/>
          <w:lang w:eastAsia="lv-LV"/>
        </w:rPr>
        <w:t xml:space="preserve">(ES) </w:t>
      </w:r>
      <w:r>
        <w:rPr>
          <w:rFonts w:eastAsia="Times New Roman"/>
          <w:szCs w:val="24"/>
          <w:lang w:eastAsia="lv-LV"/>
        </w:rPr>
        <w:t>Nr.</w:t>
      </w:r>
      <w:r w:rsidRPr="001D3D9B">
        <w:rPr>
          <w:rFonts w:eastAsia="Times New Roman"/>
          <w:szCs w:val="24"/>
          <w:lang w:eastAsia="lv-LV"/>
        </w:rPr>
        <w:t>2015/848</w:t>
      </w:r>
      <w:r>
        <w:rPr>
          <w:rFonts w:eastAsia="Times New Roman"/>
          <w:szCs w:val="24"/>
          <w:lang w:eastAsia="lv-LV"/>
        </w:rPr>
        <w:t xml:space="preserve"> </w:t>
      </w:r>
      <w:r w:rsidRPr="001D3D9B">
        <w:rPr>
          <w:rFonts w:eastAsia="Times New Roman"/>
          <w:szCs w:val="24"/>
          <w:lang w:eastAsia="lv-LV"/>
        </w:rPr>
        <w:t>par maksātnespējas procedūrām</w:t>
      </w:r>
      <w:r>
        <w:rPr>
          <w:rFonts w:eastAsia="Times New Roman"/>
          <w:szCs w:val="24"/>
          <w:lang w:eastAsia="lv-LV"/>
        </w:rPr>
        <w:t xml:space="preserve"> </w:t>
      </w:r>
      <w:r w:rsidRPr="001D3D9B">
        <w:rPr>
          <w:rFonts w:eastAsia="Times New Roman"/>
          <w:szCs w:val="24"/>
          <w:lang w:eastAsia="lv-LV"/>
        </w:rPr>
        <w:t>(pārstrādāta redakcija)</w:t>
      </w:r>
      <w:r w:rsidR="00DE1E07">
        <w:rPr>
          <w:rStyle w:val="FootnoteReference"/>
          <w:rFonts w:eastAsia="Times New Roman"/>
          <w:szCs w:val="24"/>
          <w:lang w:eastAsia="lv-LV"/>
        </w:rPr>
        <w:footnoteReference w:id="1"/>
      </w:r>
      <w:r w:rsidR="00400BB5" w:rsidRPr="00DE1E07">
        <w:rPr>
          <w:rFonts w:eastAsia="Times New Roman"/>
          <w:szCs w:val="24"/>
          <w:lang w:eastAsia="lv-LV"/>
        </w:rPr>
        <w:t>;</w:t>
      </w:r>
    </w:p>
    <w:p w:rsidR="005D530F" w:rsidRPr="005D530F" w:rsidRDefault="005D530F" w:rsidP="006714B8">
      <w:pPr>
        <w:numPr>
          <w:ilvl w:val="2"/>
          <w:numId w:val="1"/>
        </w:numPr>
        <w:tabs>
          <w:tab w:val="clear" w:pos="720"/>
        </w:tabs>
        <w:ind w:left="426" w:hanging="426"/>
        <w:jc w:val="both"/>
        <w:rPr>
          <w:rFonts w:eastAsia="Times New Roman"/>
          <w:szCs w:val="24"/>
          <w:lang w:eastAsia="lv-LV"/>
        </w:rPr>
      </w:pPr>
      <w:r w:rsidRPr="005D530F">
        <w:rPr>
          <w:rFonts w:eastAsia="Times New Roman"/>
          <w:szCs w:val="24"/>
          <w:lang w:eastAsia="lv-LV"/>
        </w:rPr>
        <w:t xml:space="preserve">Eiropas Komisijas </w:t>
      </w:r>
      <w:r w:rsidR="00A60B19">
        <w:rPr>
          <w:rFonts w:eastAsia="Times New Roman"/>
          <w:szCs w:val="24"/>
          <w:lang w:eastAsia="lv-LV"/>
        </w:rPr>
        <w:t>2014.gada 3.marta</w:t>
      </w:r>
      <w:r w:rsidR="00A60B19" w:rsidRPr="005D530F">
        <w:rPr>
          <w:rFonts w:eastAsia="Times New Roman"/>
          <w:szCs w:val="24"/>
          <w:lang w:eastAsia="lv-LV"/>
        </w:rPr>
        <w:t xml:space="preserve"> </w:t>
      </w:r>
      <w:r w:rsidRPr="005D530F">
        <w:rPr>
          <w:rFonts w:eastAsia="Times New Roman"/>
          <w:szCs w:val="24"/>
          <w:lang w:eastAsia="lv-LV"/>
        </w:rPr>
        <w:t xml:space="preserve">Deleģētā </w:t>
      </w:r>
      <w:r w:rsidR="00373663">
        <w:rPr>
          <w:rFonts w:eastAsia="Times New Roman"/>
          <w:szCs w:val="24"/>
          <w:lang w:eastAsia="lv-LV"/>
        </w:rPr>
        <w:t>r</w:t>
      </w:r>
      <w:r w:rsidR="00373663" w:rsidRPr="005D530F">
        <w:rPr>
          <w:rFonts w:eastAsia="Times New Roman"/>
          <w:szCs w:val="24"/>
          <w:lang w:eastAsia="lv-LV"/>
        </w:rPr>
        <w:t xml:space="preserve">egula </w:t>
      </w:r>
      <w:r w:rsidRPr="005D530F">
        <w:rPr>
          <w:rFonts w:eastAsia="Times New Roman"/>
          <w:szCs w:val="24"/>
          <w:lang w:eastAsia="lv-LV"/>
        </w:rPr>
        <w:t>(ES) Nr.480/2014, ar kuru papildina Eiropas Parlamenta un Padomes Regulu (ES) Nr.1303/2013, ar ko paredz kopīgus noteikumus par Eiropas Reģionālās attīstības fondu, Eiropas Sociālo fondu, Kohēzijas fondu, Eiropas Lauksaimniecības fondu lauku attīstībai un Eiropas Jūrlietu un zivsaimniecības fondu un vispārīgus noteikumus par Eiropas Reģionālās attīstības fondu, Eiropas Sociālo fondu, Kohēzijas fondu un Eiropas Jūrlietu un zivsaimniecības fondu</w:t>
      </w:r>
      <w:r>
        <w:rPr>
          <w:rFonts w:eastAsia="Times New Roman"/>
          <w:szCs w:val="24"/>
          <w:lang w:eastAsia="lv-LV"/>
        </w:rPr>
        <w:t>;</w:t>
      </w:r>
    </w:p>
    <w:p w:rsidR="00C22F5A" w:rsidRDefault="00C22F5A" w:rsidP="006714B8">
      <w:pPr>
        <w:numPr>
          <w:ilvl w:val="2"/>
          <w:numId w:val="1"/>
        </w:numPr>
        <w:tabs>
          <w:tab w:val="clear" w:pos="720"/>
        </w:tabs>
        <w:ind w:left="426" w:hanging="426"/>
        <w:jc w:val="both"/>
        <w:rPr>
          <w:rFonts w:eastAsia="Times New Roman"/>
          <w:szCs w:val="24"/>
          <w:lang w:eastAsia="lv-LV"/>
        </w:rPr>
      </w:pPr>
      <w:r>
        <w:rPr>
          <w:rFonts w:eastAsia="Times New Roman"/>
          <w:szCs w:val="24"/>
          <w:lang w:eastAsia="lv-LV"/>
        </w:rPr>
        <w:t xml:space="preserve">Eiropas Komisijas </w:t>
      </w:r>
      <w:r w:rsidR="0088211D">
        <w:rPr>
          <w:rFonts w:eastAsia="Times New Roman"/>
          <w:szCs w:val="24"/>
          <w:lang w:eastAsia="lv-LV"/>
        </w:rPr>
        <w:t xml:space="preserve">2015.gada 8.jūlija </w:t>
      </w:r>
      <w:r w:rsidR="00A60B19">
        <w:rPr>
          <w:rFonts w:eastAsia="Times New Roman"/>
          <w:szCs w:val="24"/>
          <w:lang w:eastAsia="lv-LV"/>
        </w:rPr>
        <w:t>D</w:t>
      </w:r>
      <w:r w:rsidRPr="00C22F5A">
        <w:rPr>
          <w:rFonts w:eastAsia="Times New Roman"/>
          <w:szCs w:val="24"/>
          <w:lang w:eastAsia="lv-LV"/>
        </w:rPr>
        <w:t>eleģēt</w:t>
      </w:r>
      <w:r w:rsidR="00D1303D">
        <w:rPr>
          <w:rFonts w:eastAsia="Times New Roman"/>
          <w:szCs w:val="24"/>
          <w:lang w:eastAsia="lv-LV"/>
        </w:rPr>
        <w:t>ā regula</w:t>
      </w:r>
      <w:r w:rsidR="00A60B19">
        <w:rPr>
          <w:rFonts w:eastAsia="Times New Roman"/>
          <w:szCs w:val="24"/>
          <w:lang w:eastAsia="lv-LV"/>
        </w:rPr>
        <w:t xml:space="preserve"> (ES) Nr.2015/1970</w:t>
      </w:r>
      <w:r w:rsidR="00D1303D">
        <w:rPr>
          <w:rFonts w:eastAsia="Times New Roman"/>
          <w:szCs w:val="24"/>
          <w:lang w:eastAsia="lv-LV"/>
        </w:rPr>
        <w:t>,</w:t>
      </w:r>
      <w:r w:rsidRPr="00C22F5A">
        <w:rPr>
          <w:rFonts w:eastAsia="Times New Roman"/>
          <w:szCs w:val="24"/>
          <w:lang w:eastAsia="lv-LV"/>
        </w:rPr>
        <w:t xml:space="preserve"> </w:t>
      </w:r>
      <w:r w:rsidR="0096331F" w:rsidRPr="0096331F">
        <w:rPr>
          <w:rFonts w:eastAsia="Times New Roman"/>
          <w:szCs w:val="24"/>
          <w:lang w:eastAsia="lv-LV"/>
        </w:rPr>
        <w:t>ar ko papildina Eiropas Parlam</w:t>
      </w:r>
      <w:r w:rsidR="00D1693B">
        <w:rPr>
          <w:rFonts w:eastAsia="Times New Roman"/>
          <w:szCs w:val="24"/>
          <w:lang w:eastAsia="lv-LV"/>
        </w:rPr>
        <w:t>enta un Padomes Regulu (ES) Nr.</w:t>
      </w:r>
      <w:r w:rsidR="0096331F" w:rsidRPr="0096331F">
        <w:rPr>
          <w:rFonts w:eastAsia="Times New Roman"/>
          <w:szCs w:val="24"/>
          <w:lang w:eastAsia="lv-LV"/>
        </w:rPr>
        <w:t>1303/2013 ar īpašiem noteikumiem par ziņošanu par pārkāpumiem attiecībā uz Eiropas Reģionālās attīstības fondu, Eiropas Sociālo fondu, Kohēzijas fondu un Eiropas Jūrlietu un zivsaimniecības fondu</w:t>
      </w:r>
      <w:r w:rsidR="00F608E2">
        <w:rPr>
          <w:rStyle w:val="FootnoteReference"/>
          <w:rFonts w:eastAsia="Times New Roman"/>
          <w:szCs w:val="24"/>
          <w:lang w:eastAsia="lv-LV"/>
        </w:rPr>
        <w:footnoteReference w:id="2"/>
      </w:r>
      <w:r w:rsidR="004D4A87">
        <w:rPr>
          <w:rFonts w:eastAsia="Times New Roman"/>
          <w:szCs w:val="24"/>
          <w:lang w:eastAsia="lv-LV"/>
        </w:rPr>
        <w:t>;</w:t>
      </w:r>
    </w:p>
    <w:p w:rsidR="00D00817" w:rsidRDefault="0088211D" w:rsidP="006714B8">
      <w:pPr>
        <w:pStyle w:val="NormalWeb"/>
        <w:numPr>
          <w:ilvl w:val="2"/>
          <w:numId w:val="1"/>
        </w:numPr>
        <w:tabs>
          <w:tab w:val="clear" w:pos="720"/>
        </w:tabs>
        <w:spacing w:line="276" w:lineRule="auto"/>
        <w:ind w:left="426" w:hanging="426"/>
        <w:jc w:val="both"/>
      </w:pPr>
      <w:r>
        <w:t xml:space="preserve">Eiropas </w:t>
      </w:r>
      <w:r w:rsidR="00D00817">
        <w:t xml:space="preserve">Komisijas </w:t>
      </w:r>
      <w:r>
        <w:t xml:space="preserve">2015.gada 8.jūlija </w:t>
      </w:r>
      <w:r w:rsidR="00A60B19">
        <w:t>Ī</w:t>
      </w:r>
      <w:r w:rsidR="0096331F">
        <w:t xml:space="preserve">stenošanas </w:t>
      </w:r>
      <w:r w:rsidR="00D1303D">
        <w:t>regula</w:t>
      </w:r>
      <w:r w:rsidR="003770CE">
        <w:t xml:space="preserve"> (ES) Nr.2015/1974,</w:t>
      </w:r>
      <w:r w:rsidR="003770CE" w:rsidRPr="003770CE">
        <w:t xml:space="preserve"> </w:t>
      </w:r>
      <w:r w:rsidR="003770CE" w:rsidRPr="0096331F">
        <w:t xml:space="preserve">ar ko nosaka ziņošanas par pārkāpumiem biežumu un formātu attiecībā uz Eiropas Reģionālās attīstības </w:t>
      </w:r>
      <w:r w:rsidR="003770CE" w:rsidRPr="0096331F">
        <w:lastRenderedPageBreak/>
        <w:t>fondu, Eiropas Sociālo fondu, Kohēzijas fondu un Eiropas Jūrlietu un zivsaimniecības fondu saskaņā ar Eiropas Parlam</w:t>
      </w:r>
      <w:r w:rsidR="003770CE">
        <w:t>enta un Padomes Regulu (ES) Nr.</w:t>
      </w:r>
      <w:r w:rsidR="003770CE" w:rsidRPr="0096331F">
        <w:t>1303/2013</w:t>
      </w:r>
      <w:r w:rsidR="00F608E2">
        <w:rPr>
          <w:rStyle w:val="FootnoteReference"/>
        </w:rPr>
        <w:footnoteReference w:id="3"/>
      </w:r>
      <w:r w:rsidR="004D4A87">
        <w:t>;</w:t>
      </w:r>
    </w:p>
    <w:p w:rsidR="006B52B3" w:rsidRDefault="00CA3EC5" w:rsidP="006714B8">
      <w:pPr>
        <w:pStyle w:val="NormalWeb"/>
        <w:numPr>
          <w:ilvl w:val="2"/>
          <w:numId w:val="1"/>
        </w:numPr>
        <w:tabs>
          <w:tab w:val="clear" w:pos="720"/>
        </w:tabs>
        <w:spacing w:line="276" w:lineRule="auto"/>
        <w:ind w:left="426" w:hanging="426"/>
        <w:jc w:val="both"/>
      </w:pPr>
      <w:r>
        <w:t>Eiropas Komisijas 2016.gada 29.janvāra D</w:t>
      </w:r>
      <w:r w:rsidRPr="00C22F5A">
        <w:t>eleģēt</w:t>
      </w:r>
      <w:r>
        <w:t>ā regula</w:t>
      </w:r>
      <w:r w:rsidR="00B86CAE">
        <w:t xml:space="preserve"> Nr.2016/568</w:t>
      </w:r>
      <w:r>
        <w:t xml:space="preserve">, </w:t>
      </w:r>
      <w:r w:rsidRPr="00CA3EC5">
        <w:t>ar ko papildina Eiropas Parlamenta un Padomes Regulu (ES) Nr.1303/2013 attiecībā uz nosacījumiem un procedūrām, kas jāpiemēro, lai noteiktu, vai dalībvalstīm ir jāatlīdzina neatgūstamās summas attiecībā uz Eiropas Reģionālās attīstības fondu, Eiropas Sociālo fondu, Kohēzijas fondu un Eiropas Jūrlietu un zivsaimniecības fondu</w:t>
      </w:r>
      <w:r w:rsidR="007101FB">
        <w:rPr>
          <w:rStyle w:val="FootnoteReference"/>
        </w:rPr>
        <w:footnoteReference w:id="4"/>
      </w:r>
      <w:r w:rsidR="007954FC">
        <w:t>;</w:t>
      </w:r>
    </w:p>
    <w:p w:rsidR="00FD7C5D" w:rsidRPr="00896CBC" w:rsidRDefault="00FD7C5D" w:rsidP="006714B8">
      <w:pPr>
        <w:pStyle w:val="NormalWeb"/>
        <w:numPr>
          <w:ilvl w:val="2"/>
          <w:numId w:val="1"/>
        </w:numPr>
        <w:tabs>
          <w:tab w:val="clear" w:pos="720"/>
        </w:tabs>
        <w:spacing w:line="276" w:lineRule="auto"/>
        <w:ind w:left="426" w:hanging="426"/>
        <w:jc w:val="both"/>
      </w:pPr>
      <w:r w:rsidRPr="00896CBC">
        <w:t xml:space="preserve">Eiropas Komisijas izstrādātas „Vadlīnijas </w:t>
      </w:r>
      <w:r w:rsidR="00306DB3" w:rsidRPr="00896CBC">
        <w:t xml:space="preserve">Savienības </w:t>
      </w:r>
      <w:r w:rsidRPr="00896CBC">
        <w:t>līdzfinansētajām izmaksām</w:t>
      </w:r>
      <w:r w:rsidR="00306DB3" w:rsidRPr="00896CBC">
        <w:t>, kas īstenotas dalītās pārvaldības ietvaros,</w:t>
      </w:r>
      <w:r w:rsidRPr="00896CBC">
        <w:t xml:space="preserve"> piemērojamo finanšu korekciju noteikšanai publiskā iepirkuma noteikumu neizpildes gadījumā”</w:t>
      </w:r>
      <w:r w:rsidR="00306DB3" w:rsidRPr="00896CBC">
        <w:t xml:space="preserve"> (Eiropas Komisijas 19.12.2013. lēmums); </w:t>
      </w:r>
    </w:p>
    <w:p w:rsidR="00896CBC" w:rsidRDefault="00896CBC" w:rsidP="006714B8">
      <w:pPr>
        <w:pStyle w:val="NormalWeb"/>
        <w:numPr>
          <w:ilvl w:val="2"/>
          <w:numId w:val="1"/>
        </w:numPr>
        <w:tabs>
          <w:tab w:val="clear" w:pos="720"/>
        </w:tabs>
        <w:spacing w:line="276" w:lineRule="auto"/>
        <w:ind w:left="426" w:hanging="426"/>
        <w:jc w:val="both"/>
      </w:pPr>
      <w:r>
        <w:t>Eiropas Komisijas vadlīnijas par akreditācijas procesu (Galīgā redakcija, 20.11.2014.)</w:t>
      </w:r>
      <w:r w:rsidR="00E76BBC">
        <w:rPr>
          <w:rStyle w:val="FootnoteReference"/>
        </w:rPr>
        <w:footnoteReference w:id="5"/>
      </w:r>
      <w:r>
        <w:t>;</w:t>
      </w:r>
    </w:p>
    <w:p w:rsidR="00896CBC" w:rsidRPr="00896CBC" w:rsidRDefault="00896CBC" w:rsidP="006714B8">
      <w:pPr>
        <w:pStyle w:val="NormalWeb"/>
        <w:numPr>
          <w:ilvl w:val="2"/>
          <w:numId w:val="1"/>
        </w:numPr>
        <w:tabs>
          <w:tab w:val="clear" w:pos="720"/>
        </w:tabs>
        <w:spacing w:line="276" w:lineRule="auto"/>
        <w:ind w:left="426" w:hanging="426"/>
        <w:jc w:val="both"/>
      </w:pPr>
      <w:r>
        <w:t>Eiropas Komisijas vadlīnijas par krāpšanas riska novērtēšanu un efektīviem un atbilstošiem tā</w:t>
      </w:r>
      <w:r w:rsidR="001D0800">
        <w:t xml:space="preserve"> mazināšanas pasākumiem</w:t>
      </w:r>
      <w:r w:rsidR="00C31CFB">
        <w:rPr>
          <w:rStyle w:val="FootnoteReference"/>
        </w:rPr>
        <w:footnoteReference w:id="6"/>
      </w:r>
      <w:r>
        <w:t xml:space="preserve">; </w:t>
      </w:r>
    </w:p>
    <w:p w:rsidR="00FD7C5D" w:rsidRPr="00896CBC" w:rsidRDefault="00FD7C5D" w:rsidP="006714B8">
      <w:pPr>
        <w:pStyle w:val="NormalWeb"/>
        <w:numPr>
          <w:ilvl w:val="2"/>
          <w:numId w:val="1"/>
        </w:numPr>
        <w:tabs>
          <w:tab w:val="clear" w:pos="720"/>
        </w:tabs>
        <w:spacing w:line="276" w:lineRule="auto"/>
        <w:ind w:left="426" w:hanging="426"/>
        <w:jc w:val="both"/>
      </w:pPr>
      <w:r w:rsidRPr="00896CBC">
        <w:t xml:space="preserve">Eiropas Komisijas 2009.gada 18.februāra „Informatīvais </w:t>
      </w:r>
      <w:smartTag w:uri="schemas-tilde-lv/tildestengine" w:element="veidnes">
        <w:smartTagPr>
          <w:attr w:name="text" w:val="paziņojums"/>
          <w:attr w:name="baseform" w:val="paziņojums"/>
          <w:attr w:name="id" w:val="-1"/>
        </w:smartTagPr>
        <w:r w:rsidRPr="00896CBC">
          <w:t>paziņojums</w:t>
        </w:r>
      </w:smartTag>
      <w:r w:rsidRPr="00896CBC">
        <w:t xml:space="preserve"> par krāpšanas pazīmēm attiecībā uz ERAF, ESF un KF”</w:t>
      </w:r>
      <w:r w:rsidR="00D830E9">
        <w:rPr>
          <w:rStyle w:val="FootnoteReference"/>
        </w:rPr>
        <w:footnoteReference w:id="7"/>
      </w:r>
      <w:r w:rsidRPr="00896CBC">
        <w:t>.</w:t>
      </w:r>
    </w:p>
    <w:p w:rsidR="00896CBC" w:rsidRDefault="00896CBC" w:rsidP="006714B8">
      <w:pPr>
        <w:pStyle w:val="NormalWeb"/>
        <w:numPr>
          <w:ilvl w:val="2"/>
          <w:numId w:val="1"/>
        </w:numPr>
        <w:tabs>
          <w:tab w:val="clear" w:pos="720"/>
        </w:tabs>
        <w:spacing w:line="276" w:lineRule="auto"/>
        <w:ind w:left="426" w:hanging="426"/>
        <w:jc w:val="both"/>
      </w:pPr>
      <w:r>
        <w:t>Eiropas Komisijas vadlīnijas par viltotu dokumentu identificēšanu</w:t>
      </w:r>
      <w:r w:rsidR="001D0800">
        <w:rPr>
          <w:rStyle w:val="FootnoteReference"/>
        </w:rPr>
        <w:footnoteReference w:id="8"/>
      </w:r>
      <w:r>
        <w:t>;</w:t>
      </w:r>
    </w:p>
    <w:p w:rsidR="00896CBC" w:rsidRDefault="00896CBC" w:rsidP="006714B8">
      <w:pPr>
        <w:pStyle w:val="NormalWeb"/>
        <w:numPr>
          <w:ilvl w:val="2"/>
          <w:numId w:val="1"/>
        </w:numPr>
        <w:tabs>
          <w:tab w:val="clear" w:pos="720"/>
        </w:tabs>
        <w:spacing w:line="276" w:lineRule="auto"/>
        <w:ind w:left="426" w:hanging="426"/>
        <w:jc w:val="both"/>
      </w:pPr>
      <w:r>
        <w:t>Eiropas Komisijas vadlīnijas par interešu konflikta identificēšanu publiskajos iepirkumos</w:t>
      </w:r>
      <w:r w:rsidR="001D0800">
        <w:rPr>
          <w:rStyle w:val="FootnoteReference"/>
        </w:rPr>
        <w:footnoteReference w:id="9"/>
      </w:r>
      <w:r>
        <w:t>;</w:t>
      </w:r>
    </w:p>
    <w:p w:rsidR="004856E1" w:rsidRPr="004856E1" w:rsidRDefault="00400BB5" w:rsidP="006714B8">
      <w:pPr>
        <w:pStyle w:val="NormalWeb"/>
        <w:numPr>
          <w:ilvl w:val="2"/>
          <w:numId w:val="1"/>
        </w:numPr>
        <w:tabs>
          <w:tab w:val="clear" w:pos="720"/>
        </w:tabs>
        <w:spacing w:line="276" w:lineRule="auto"/>
        <w:ind w:left="426" w:hanging="426"/>
        <w:jc w:val="both"/>
      </w:pPr>
      <w:r w:rsidRPr="004856E1">
        <w:t xml:space="preserve">Eiropas Komisijas </w:t>
      </w:r>
      <w:r w:rsidR="002A4868">
        <w:t xml:space="preserve">2016.gada 25.janvāra </w:t>
      </w:r>
      <w:r w:rsidRPr="004856E1">
        <w:t xml:space="preserve">vadlīnijas </w:t>
      </w:r>
      <w:r w:rsidR="004856E1" w:rsidRPr="004856E1">
        <w:t>par ieturētajām summām, atgūtajām summām, atgūstamajām summām un neatgūstamajām summām</w:t>
      </w:r>
      <w:r w:rsidR="004856E1" w:rsidRPr="004856E1">
        <w:rPr>
          <w:rStyle w:val="FootnoteReference"/>
        </w:rPr>
        <w:footnoteReference w:id="10"/>
      </w:r>
      <w:r w:rsidR="004856E1" w:rsidRPr="004856E1">
        <w:t xml:space="preserve">; </w:t>
      </w:r>
    </w:p>
    <w:p w:rsidR="004856E1" w:rsidRDefault="004856E1" w:rsidP="006714B8">
      <w:pPr>
        <w:pStyle w:val="NormalWeb"/>
        <w:numPr>
          <w:ilvl w:val="2"/>
          <w:numId w:val="1"/>
        </w:numPr>
        <w:tabs>
          <w:tab w:val="clear" w:pos="720"/>
        </w:tabs>
        <w:spacing w:line="276" w:lineRule="auto"/>
        <w:ind w:left="426" w:hanging="426"/>
        <w:jc w:val="both"/>
      </w:pPr>
      <w:r>
        <w:t xml:space="preserve">Eiropas Komisijas </w:t>
      </w:r>
      <w:r w:rsidR="002A4868">
        <w:t xml:space="preserve">2016.gada 9.februāra </w:t>
      </w:r>
      <w:r>
        <w:t>vadlīnijas par kontu sagatavošanu, pārbaudi un pieņemšanu</w:t>
      </w:r>
      <w:r>
        <w:rPr>
          <w:rStyle w:val="FootnoteReference"/>
        </w:rPr>
        <w:footnoteReference w:id="11"/>
      </w:r>
      <w:r>
        <w:t>;</w:t>
      </w:r>
    </w:p>
    <w:p w:rsidR="00400BB5" w:rsidRPr="006B7619" w:rsidRDefault="006B7619" w:rsidP="006714B8">
      <w:pPr>
        <w:pStyle w:val="NormalWeb"/>
        <w:numPr>
          <w:ilvl w:val="2"/>
          <w:numId w:val="1"/>
        </w:numPr>
        <w:tabs>
          <w:tab w:val="clear" w:pos="720"/>
        </w:tabs>
        <w:spacing w:line="276" w:lineRule="auto"/>
        <w:ind w:left="426" w:hanging="426"/>
        <w:jc w:val="both"/>
      </w:pPr>
      <w:r w:rsidRPr="006B7619">
        <w:lastRenderedPageBreak/>
        <w:t>Eiropas Komisijas vadlīnijas par vienkāršotajām izmaksām</w:t>
      </w:r>
      <w:r w:rsidRPr="006B7619">
        <w:rPr>
          <w:rStyle w:val="FootnoteReference"/>
        </w:rPr>
        <w:footnoteReference w:id="12"/>
      </w:r>
      <w:r w:rsidRPr="006B7619">
        <w:t xml:space="preserve"> </w:t>
      </w:r>
      <w:r w:rsidR="00400BB5" w:rsidRPr="006B7619">
        <w:t>(</w:t>
      </w:r>
      <w:r w:rsidRPr="006B7619">
        <w:t>EGESIF_14-0017</w:t>
      </w:r>
      <w:r w:rsidR="00400BB5" w:rsidRPr="006B7619">
        <w:t>);</w:t>
      </w:r>
    </w:p>
    <w:p w:rsidR="00930A3F" w:rsidRPr="006B7619" w:rsidRDefault="00930A3F" w:rsidP="006714B8">
      <w:pPr>
        <w:pStyle w:val="NormalWeb"/>
        <w:numPr>
          <w:ilvl w:val="2"/>
          <w:numId w:val="1"/>
        </w:numPr>
        <w:tabs>
          <w:tab w:val="clear" w:pos="720"/>
        </w:tabs>
        <w:spacing w:line="276" w:lineRule="auto"/>
        <w:ind w:left="426" w:hanging="426"/>
        <w:jc w:val="both"/>
      </w:pPr>
      <w:r w:rsidRPr="006B7619">
        <w:t xml:space="preserve">Eiropas Krāpšanas apkarošanas biroja Krāpšanas novēršanas informācijas sistēmas </w:t>
      </w:r>
      <w:r w:rsidR="00E30BF2">
        <w:t xml:space="preserve">IMS5 </w:t>
      </w:r>
      <w:r w:rsidRPr="006B7619">
        <w:t xml:space="preserve">Lietotāju rokasgrāmata </w:t>
      </w:r>
      <w:r w:rsidR="00B8666E" w:rsidRPr="00357E45">
        <w:t>(</w:t>
      </w:r>
      <w:r w:rsidR="00B8666E">
        <w:t>10.2</w:t>
      </w:r>
      <w:r w:rsidR="00B8666E" w:rsidRPr="00357E45">
        <w:t>.</w:t>
      </w:r>
      <w:r w:rsidR="00DE1B13">
        <w:t>p.</w:t>
      </w:r>
      <w:r w:rsidR="00B8666E" w:rsidRPr="00357E45">
        <w:t>)</w:t>
      </w:r>
      <w:r w:rsidR="00B8666E">
        <w:rPr>
          <w:rStyle w:val="FootnoteReference"/>
        </w:rPr>
        <w:footnoteReference w:id="13"/>
      </w:r>
      <w:r w:rsidR="00B8666E" w:rsidRPr="006B7619">
        <w:t xml:space="preserve"> </w:t>
      </w:r>
    </w:p>
    <w:p w:rsidR="00896CBC" w:rsidRDefault="009321AC" w:rsidP="006714B8">
      <w:pPr>
        <w:pStyle w:val="NormalWeb"/>
        <w:numPr>
          <w:ilvl w:val="2"/>
          <w:numId w:val="1"/>
        </w:numPr>
        <w:tabs>
          <w:tab w:val="clear" w:pos="720"/>
        </w:tabs>
        <w:spacing w:line="276" w:lineRule="auto"/>
        <w:ind w:left="426" w:hanging="426"/>
        <w:jc w:val="both"/>
      </w:pPr>
      <w:hyperlink w:history="1"/>
      <w:r w:rsidR="00896CBC">
        <w:t>Eiropas Savienības struktūrfondu un Kohēzijas fonda 2014.</w:t>
      </w:r>
      <w:r w:rsidR="003770CE">
        <w:t>–</w:t>
      </w:r>
      <w:r w:rsidR="00896CBC">
        <w:t>2020.gada plānošanas perioda vadības likums;</w:t>
      </w:r>
    </w:p>
    <w:p w:rsidR="00A5512A" w:rsidRPr="006B7619" w:rsidRDefault="00A5512A" w:rsidP="006714B8">
      <w:pPr>
        <w:pStyle w:val="NormalWeb"/>
        <w:numPr>
          <w:ilvl w:val="2"/>
          <w:numId w:val="1"/>
        </w:numPr>
        <w:tabs>
          <w:tab w:val="clear" w:pos="720"/>
        </w:tabs>
        <w:spacing w:line="276" w:lineRule="auto"/>
        <w:ind w:left="426" w:hanging="426"/>
        <w:jc w:val="both"/>
      </w:pPr>
      <w:r w:rsidRPr="006B7619">
        <w:t>Likums par budžetu un finanšu vadību</w:t>
      </w:r>
      <w:r w:rsidR="006B7619">
        <w:t>;</w:t>
      </w:r>
    </w:p>
    <w:p w:rsidR="00787207" w:rsidRPr="00A5512A" w:rsidRDefault="00787207" w:rsidP="006714B8">
      <w:pPr>
        <w:pStyle w:val="NormalWeb"/>
        <w:numPr>
          <w:ilvl w:val="2"/>
          <w:numId w:val="1"/>
        </w:numPr>
        <w:tabs>
          <w:tab w:val="clear" w:pos="720"/>
        </w:tabs>
        <w:spacing w:line="276" w:lineRule="auto"/>
        <w:ind w:left="426" w:hanging="426"/>
        <w:jc w:val="both"/>
      </w:pPr>
      <w:r w:rsidRPr="00A5512A">
        <w:t>Maksātnespējas likums</w:t>
      </w:r>
      <w:r w:rsidR="006B7619">
        <w:t>;</w:t>
      </w:r>
    </w:p>
    <w:p w:rsidR="00A5512A" w:rsidRPr="006B7619" w:rsidRDefault="00A5512A" w:rsidP="006714B8">
      <w:pPr>
        <w:pStyle w:val="NormalWeb"/>
        <w:numPr>
          <w:ilvl w:val="2"/>
          <w:numId w:val="1"/>
        </w:numPr>
        <w:tabs>
          <w:tab w:val="clear" w:pos="720"/>
        </w:tabs>
        <w:spacing w:line="276" w:lineRule="auto"/>
        <w:ind w:left="426" w:hanging="426"/>
        <w:jc w:val="both"/>
      </w:pPr>
      <w:r w:rsidRPr="006B7619">
        <w:t>Publiskas personas finanšu līdzekļu un mantas izšķērdēšanas novēršanas likums</w:t>
      </w:r>
      <w:r w:rsidR="006B7619">
        <w:t>;</w:t>
      </w:r>
    </w:p>
    <w:p w:rsidR="00896CBC" w:rsidRPr="00234E1C" w:rsidRDefault="00400BB5" w:rsidP="006714B8">
      <w:pPr>
        <w:pStyle w:val="NormalWeb"/>
        <w:numPr>
          <w:ilvl w:val="2"/>
          <w:numId w:val="1"/>
        </w:numPr>
        <w:tabs>
          <w:tab w:val="clear" w:pos="720"/>
        </w:tabs>
        <w:spacing w:line="276" w:lineRule="auto"/>
        <w:ind w:left="426" w:hanging="426"/>
        <w:jc w:val="both"/>
      </w:pPr>
      <w:r w:rsidRPr="00234E1C">
        <w:t xml:space="preserve">Ministru kabineta 2015.gada </w:t>
      </w:r>
      <w:r w:rsidR="00A2774D">
        <w:t xml:space="preserve">8.septembra </w:t>
      </w:r>
      <w:r w:rsidRPr="00234E1C">
        <w:t>noteikumi Nr</w:t>
      </w:r>
      <w:r w:rsidR="00A2774D">
        <w:t>.517</w:t>
      </w:r>
      <w:r w:rsidR="00234E1C" w:rsidRPr="00234E1C">
        <w:t xml:space="preserve"> </w:t>
      </w:r>
      <w:r w:rsidRPr="00234E1C">
        <w:t>„</w:t>
      </w:r>
      <w:r w:rsidR="004B6B1B" w:rsidRPr="004B6B1B">
        <w:t>Kārtība, kādā ziņo par konstatētajām neatbilstībām un atgūst neatbilstoši veiktos izdevumus Eiropas Savienības struktūrfondu un Kohēzi</w:t>
      </w:r>
      <w:r w:rsidR="00841C49">
        <w:t>jas fonda ieviešanā 2014.</w:t>
      </w:r>
      <w:r w:rsidR="00C44255">
        <w:t>-</w:t>
      </w:r>
      <w:r w:rsidR="00841C49">
        <w:t>2020.</w:t>
      </w:r>
      <w:r w:rsidR="004B6B1B" w:rsidRPr="004B6B1B">
        <w:t>gada plānošanas periodā</w:t>
      </w:r>
      <w:r w:rsidRPr="00234E1C">
        <w:t>”;</w:t>
      </w:r>
    </w:p>
    <w:p w:rsidR="00855FD5" w:rsidRDefault="00896CBC" w:rsidP="006714B8">
      <w:pPr>
        <w:pStyle w:val="NormalWeb"/>
        <w:numPr>
          <w:ilvl w:val="2"/>
          <w:numId w:val="1"/>
        </w:numPr>
        <w:tabs>
          <w:tab w:val="clear" w:pos="720"/>
        </w:tabs>
        <w:spacing w:line="276" w:lineRule="auto"/>
        <w:ind w:left="426" w:hanging="426"/>
        <w:jc w:val="both"/>
      </w:pPr>
      <w:r w:rsidRPr="00400BB5">
        <w:t>SIA „DEA BALTIKA” „Metodoloģiska rokasgrāmata par būtiskām pārmaiņām, kas tiek veiktas projektos piecu gadu laikā no pēdējā maksājuma veikšanas”;</w:t>
      </w:r>
    </w:p>
    <w:p w:rsidR="00FD7C5D" w:rsidRDefault="006B7619" w:rsidP="006714B8">
      <w:pPr>
        <w:pStyle w:val="NormalWeb"/>
        <w:numPr>
          <w:ilvl w:val="2"/>
          <w:numId w:val="1"/>
        </w:numPr>
        <w:tabs>
          <w:tab w:val="clear" w:pos="720"/>
        </w:tabs>
        <w:spacing w:line="276" w:lineRule="auto"/>
        <w:ind w:left="426" w:hanging="426"/>
        <w:jc w:val="both"/>
      </w:pPr>
      <w:r>
        <w:t>Kohēzijas politikas fondu vadības informācijas sistēmas 2014.-2020.gadam BIZNESA ROKASGRĀMATA</w:t>
      </w:r>
      <w:r w:rsidR="00FF2CDB" w:rsidRPr="00855FD5">
        <w:rPr>
          <w:vertAlign w:val="superscript"/>
        </w:rPr>
        <w:footnoteReference w:id="14"/>
      </w:r>
      <w:r w:rsidR="00927002">
        <w:t>;</w:t>
      </w:r>
    </w:p>
    <w:p w:rsidR="00357E45" w:rsidRDefault="00357E45" w:rsidP="00F36DBB">
      <w:pPr>
        <w:pStyle w:val="NormalWeb"/>
        <w:numPr>
          <w:ilvl w:val="2"/>
          <w:numId w:val="1"/>
        </w:numPr>
        <w:tabs>
          <w:tab w:val="clear" w:pos="720"/>
        </w:tabs>
        <w:spacing w:line="276" w:lineRule="auto"/>
        <w:ind w:left="426" w:hanging="426"/>
        <w:jc w:val="both"/>
      </w:pPr>
      <w:r w:rsidRPr="00357E45">
        <w:t>Eiropas Savienības fondu 2014.-2020.gada plānošanas perioda publicitātes vadlīnijas Eiropas Savienības fondu finansējuma saņēmējiem (</w:t>
      </w:r>
      <w:r w:rsidR="00A31716">
        <w:t xml:space="preserve">dok. </w:t>
      </w:r>
      <w:r w:rsidRPr="00357E45">
        <w:t>Nr.2.4.)</w:t>
      </w:r>
      <w:r>
        <w:rPr>
          <w:rStyle w:val="FootnoteReference"/>
        </w:rPr>
        <w:footnoteReference w:id="15"/>
      </w:r>
      <w:r w:rsidR="00927002">
        <w:t>.</w:t>
      </w:r>
    </w:p>
    <w:sectPr w:rsidR="00357E45" w:rsidSect="002A0524">
      <w:headerReference w:type="even" r:id="rId8"/>
      <w:headerReference w:type="default" r:id="rId9"/>
      <w:footerReference w:type="even" r:id="rId10"/>
      <w:footerReference w:type="default" r:id="rId11"/>
      <w:headerReference w:type="first" r:id="rId12"/>
      <w:footerReference w:type="first" r:id="rId13"/>
      <w:pgSz w:w="11906" w:h="16838"/>
      <w:pgMar w:top="1963"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BFF" w:rsidRDefault="00A94BFF" w:rsidP="00700E01">
      <w:pPr>
        <w:spacing w:after="0" w:line="240" w:lineRule="auto"/>
      </w:pPr>
      <w:r>
        <w:separator/>
      </w:r>
    </w:p>
  </w:endnote>
  <w:endnote w:type="continuationSeparator" w:id="0">
    <w:p w:rsidR="00A94BFF" w:rsidRDefault="00A94BFF" w:rsidP="0070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57D" w:rsidRDefault="000245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57D" w:rsidRDefault="000245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57D" w:rsidRDefault="00024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BFF" w:rsidRDefault="00A94BFF" w:rsidP="00700E01">
      <w:pPr>
        <w:spacing w:after="0" w:line="240" w:lineRule="auto"/>
      </w:pPr>
      <w:r>
        <w:separator/>
      </w:r>
    </w:p>
  </w:footnote>
  <w:footnote w:type="continuationSeparator" w:id="0">
    <w:p w:rsidR="00A94BFF" w:rsidRDefault="00A94BFF" w:rsidP="00700E01">
      <w:pPr>
        <w:spacing w:after="0" w:line="240" w:lineRule="auto"/>
      </w:pPr>
      <w:r>
        <w:continuationSeparator/>
      </w:r>
    </w:p>
  </w:footnote>
  <w:footnote w:id="1">
    <w:p w:rsidR="00DE1E07" w:rsidRDefault="00DE1E07" w:rsidP="00DE1E07">
      <w:pPr>
        <w:pStyle w:val="FootnoteText"/>
        <w:spacing w:after="0" w:line="240" w:lineRule="auto"/>
      </w:pPr>
      <w:r>
        <w:rPr>
          <w:rStyle w:val="FootnoteReference"/>
        </w:rPr>
        <w:footnoteRef/>
      </w:r>
      <w:r>
        <w:t xml:space="preserve"> REGULATION (EU) 2015/848 OF THE EUROPEAN PARLIAMENT AND OF THE COUNCIL </w:t>
      </w:r>
      <w:proofErr w:type="spellStart"/>
      <w:r>
        <w:t>of</w:t>
      </w:r>
      <w:proofErr w:type="spellEnd"/>
      <w:r>
        <w:t xml:space="preserve"> 20 </w:t>
      </w:r>
      <w:proofErr w:type="spellStart"/>
      <w:r>
        <w:t>May</w:t>
      </w:r>
      <w:proofErr w:type="spellEnd"/>
      <w:r>
        <w:t xml:space="preserve"> 2015 </w:t>
      </w:r>
      <w:proofErr w:type="spellStart"/>
      <w:r>
        <w:t>on</w:t>
      </w:r>
      <w:proofErr w:type="spellEnd"/>
      <w:r>
        <w:t xml:space="preserve"> </w:t>
      </w:r>
      <w:proofErr w:type="spellStart"/>
      <w:r>
        <w:t>insolvency</w:t>
      </w:r>
      <w:proofErr w:type="spellEnd"/>
      <w:r>
        <w:t xml:space="preserve"> </w:t>
      </w:r>
      <w:proofErr w:type="spellStart"/>
      <w:r>
        <w:t>proceedings</w:t>
      </w:r>
      <w:proofErr w:type="spellEnd"/>
      <w:r>
        <w:t xml:space="preserve"> (</w:t>
      </w:r>
      <w:proofErr w:type="spellStart"/>
      <w:r>
        <w:t>recast</w:t>
      </w:r>
      <w:proofErr w:type="spellEnd"/>
      <w:r>
        <w:t xml:space="preserve">) – </w:t>
      </w:r>
      <w:hyperlink r:id="rId1" w:history="1">
        <w:r w:rsidRPr="00C82945">
          <w:rPr>
            <w:rStyle w:val="Hyperlink"/>
          </w:rPr>
          <w:t>http://eur-lex.europa.eu/legal-content/LV/TXT/?uri=CELEX:32015R0848&amp;qid=1464939698601</w:t>
        </w:r>
      </w:hyperlink>
      <w:r>
        <w:t xml:space="preserve"> </w:t>
      </w:r>
    </w:p>
  </w:footnote>
  <w:footnote w:id="2">
    <w:p w:rsidR="00F608E2" w:rsidRDefault="00F608E2" w:rsidP="00C4395A">
      <w:pPr>
        <w:pStyle w:val="FootnoteText"/>
        <w:spacing w:after="0" w:line="240" w:lineRule="auto"/>
        <w:jc w:val="both"/>
      </w:pPr>
      <w:r>
        <w:rPr>
          <w:rStyle w:val="FootnoteReference"/>
        </w:rPr>
        <w:footnoteRef/>
      </w:r>
      <w:r>
        <w:t xml:space="preserve"> </w:t>
      </w:r>
      <w:r>
        <w:t xml:space="preserve">COMMISSION DELEGATED REGULATION (EU) </w:t>
      </w:r>
      <w:r w:rsidRPr="0096331F">
        <w:rPr>
          <w:lang w:val="en-US"/>
        </w:rPr>
        <w:t>2015/1970 of 8 July 2015 supplementing Regulation (EU) No 1303/2013 of the European Parliament and of the Council with specific provisions on the reporting of irregularities concerning the European Regional Development Fund, the European Social Fund, the Cohesion Fund, and the European Maritime and Fisheries Fund</w:t>
      </w:r>
      <w:r w:rsidR="00C4395A">
        <w:rPr>
          <w:lang w:val="en-US"/>
        </w:rPr>
        <w:t xml:space="preserve"> – </w:t>
      </w:r>
      <w:hyperlink r:id="rId2" w:history="1">
        <w:r w:rsidR="00C4395A" w:rsidRPr="00EA763F">
          <w:rPr>
            <w:rStyle w:val="Hyperlink"/>
            <w:lang w:val="en-US"/>
          </w:rPr>
          <w:t>http://eur-lex.europa.eu/legal-content/EN/TXT/?uri=uriserv:OJ.L_.2015.293.01.0001.01.ENG</w:t>
        </w:r>
      </w:hyperlink>
      <w:r w:rsidR="00C4395A">
        <w:rPr>
          <w:lang w:val="en-US"/>
        </w:rPr>
        <w:t xml:space="preserve"> </w:t>
      </w:r>
      <w:r>
        <w:t xml:space="preserve"> </w:t>
      </w:r>
    </w:p>
  </w:footnote>
  <w:footnote w:id="3">
    <w:p w:rsidR="00F608E2" w:rsidRPr="007101FB" w:rsidRDefault="00F608E2" w:rsidP="00C4395A">
      <w:pPr>
        <w:pStyle w:val="FootnoteText"/>
        <w:spacing w:after="0" w:line="240" w:lineRule="auto"/>
        <w:jc w:val="both"/>
        <w:rPr>
          <w:lang w:val="en-US"/>
        </w:rPr>
      </w:pPr>
      <w:r w:rsidRPr="007101FB">
        <w:rPr>
          <w:rStyle w:val="FootnoteReference"/>
          <w:lang w:val="en-US"/>
        </w:rPr>
        <w:footnoteRef/>
      </w:r>
      <w:r w:rsidRPr="007101FB">
        <w:rPr>
          <w:lang w:val="en-US"/>
        </w:rPr>
        <w:t xml:space="preserve"> COMMISSION IMPLEMENTING REGULATION (EU) 2015/1974 of 8 July 2015, setting out the frequency and the format of the reporting of irregularities concerning the European Regional Development Fund, the European Social Fund, the Cohesion Fund and the European Maritime and Fisheries Fund, under Regulation (EU) No 1303/2013 of the European Parliament and of the Council of the European Parliament and of the Council</w:t>
      </w:r>
      <w:r w:rsidR="00C4395A" w:rsidRPr="007101FB">
        <w:rPr>
          <w:lang w:val="en-US"/>
        </w:rPr>
        <w:t xml:space="preserve"> – </w:t>
      </w:r>
      <w:hyperlink r:id="rId3" w:history="1">
        <w:r w:rsidR="00C4395A" w:rsidRPr="007101FB">
          <w:rPr>
            <w:rStyle w:val="Hyperlink"/>
            <w:lang w:val="en-US"/>
          </w:rPr>
          <w:t>http://eur-lex.europa.eu/legal-content/EN/TXT/?uri=uriserv:OJ.L_.2015.293.01.0020.01.ENG</w:t>
        </w:r>
      </w:hyperlink>
      <w:r w:rsidR="00C4395A" w:rsidRPr="007101FB">
        <w:rPr>
          <w:lang w:val="en-US"/>
        </w:rPr>
        <w:t xml:space="preserve"> </w:t>
      </w:r>
    </w:p>
  </w:footnote>
  <w:footnote w:id="4">
    <w:p w:rsidR="007101FB" w:rsidRPr="007101FB" w:rsidRDefault="007101FB" w:rsidP="007101FB">
      <w:pPr>
        <w:pStyle w:val="FootnoteText"/>
        <w:spacing w:after="0" w:line="240" w:lineRule="auto"/>
        <w:jc w:val="both"/>
        <w:rPr>
          <w:lang w:val="en-US"/>
        </w:rPr>
      </w:pPr>
      <w:r w:rsidRPr="00AA7B1F">
        <w:rPr>
          <w:rStyle w:val="FootnoteReference"/>
          <w:lang w:val="en-US"/>
        </w:rPr>
        <w:footnoteRef/>
      </w:r>
      <w:r w:rsidRPr="00AA7B1F">
        <w:rPr>
          <w:lang w:val="en-US"/>
        </w:rPr>
        <w:t xml:space="preserve"> COMMISSION DELEGATED REGULATION (EU) 2016/568 of 29 January 2016 supplementing Regulation (EU) No 1303/2013 of the European Parliament and of the Council with regard to the conditions and procedures to determine whether amounts which are irrecoverable shall be reimbursed by Member States concerning the European Regional Development Fund, the European Social Fund, the Cohesion Fund, and the European Maritime and Fisheries Fund – </w:t>
      </w:r>
      <w:hyperlink r:id="rId4" w:history="1">
        <w:r w:rsidRPr="00AA7B1F">
          <w:rPr>
            <w:rStyle w:val="Hyperlink"/>
            <w:lang w:val="en-US"/>
          </w:rPr>
          <w:t>http://eur-lex.europa.eu/legal-content/LV/TXT/?uri=CELEX:32016R0568</w:t>
        </w:r>
      </w:hyperlink>
      <w:r>
        <w:rPr>
          <w:lang w:val="en-US"/>
        </w:rPr>
        <w:t xml:space="preserve"> </w:t>
      </w:r>
    </w:p>
  </w:footnote>
  <w:footnote w:id="5">
    <w:p w:rsidR="00E76BBC" w:rsidRPr="007101FB" w:rsidRDefault="00E76BBC" w:rsidP="00C4395A">
      <w:pPr>
        <w:pStyle w:val="FootnoteText"/>
        <w:spacing w:after="0" w:line="240" w:lineRule="auto"/>
        <w:jc w:val="both"/>
        <w:rPr>
          <w:lang w:val="en-US"/>
        </w:rPr>
      </w:pPr>
      <w:r w:rsidRPr="007101FB">
        <w:rPr>
          <w:rStyle w:val="FootnoteReference"/>
          <w:lang w:val="en-US"/>
        </w:rPr>
        <w:footnoteRef/>
      </w:r>
      <w:r w:rsidRPr="007101FB">
        <w:rPr>
          <w:lang w:val="en-US"/>
        </w:rPr>
        <w:t xml:space="preserve"> Guidance for Member States and </w:t>
      </w:r>
      <w:proofErr w:type="spellStart"/>
      <w:r w:rsidRPr="007101FB">
        <w:rPr>
          <w:lang w:val="en-US"/>
        </w:rPr>
        <w:t>Programme</w:t>
      </w:r>
      <w:proofErr w:type="spellEnd"/>
      <w:r w:rsidRPr="007101FB">
        <w:rPr>
          <w:lang w:val="en-US"/>
        </w:rPr>
        <w:t xml:space="preserve"> Authorities Designation Procedure (under Articles 123 and 124 of Regulation (EU) No 1303/2013 and Article 21 of the Regulation (EU) No 1299/2013</w:t>
      </w:r>
    </w:p>
  </w:footnote>
  <w:footnote w:id="6">
    <w:p w:rsidR="00C31CFB" w:rsidRPr="007101FB" w:rsidRDefault="00C31CFB" w:rsidP="00C4395A">
      <w:pPr>
        <w:pStyle w:val="FootnoteText"/>
        <w:spacing w:after="0" w:line="240" w:lineRule="auto"/>
        <w:rPr>
          <w:lang w:val="en-US"/>
        </w:rPr>
      </w:pPr>
      <w:r w:rsidRPr="007101FB">
        <w:rPr>
          <w:rStyle w:val="FootnoteReference"/>
          <w:lang w:val="en-US"/>
        </w:rPr>
        <w:footnoteRef/>
      </w:r>
      <w:r w:rsidRPr="007101FB">
        <w:rPr>
          <w:lang w:val="en-US"/>
        </w:rPr>
        <w:t xml:space="preserve"> GUIDANCE NOTE ON FRAUD RISK ASSESSMENT AND EFFECTIVE AND PROPORTIONATE ANTI-FRAUDMEASURES</w:t>
      </w:r>
    </w:p>
  </w:footnote>
  <w:footnote w:id="7">
    <w:p w:rsidR="00D830E9" w:rsidRDefault="00D830E9" w:rsidP="00C4395A">
      <w:pPr>
        <w:pStyle w:val="FootnoteText"/>
        <w:spacing w:after="0" w:line="240" w:lineRule="auto"/>
      </w:pPr>
      <w:r>
        <w:rPr>
          <w:rStyle w:val="FootnoteReference"/>
        </w:rPr>
        <w:footnoteRef/>
      </w:r>
      <w:r>
        <w:t xml:space="preserve"> </w:t>
      </w:r>
      <w:r>
        <w:t xml:space="preserve">Pieejams: </w:t>
      </w:r>
      <w:hyperlink r:id="rId5" w:history="1">
        <w:r w:rsidR="00CB2828" w:rsidRPr="007E5CAA">
          <w:rPr>
            <w:rStyle w:val="Hyperlink"/>
          </w:rPr>
          <w:t>http://www.esfondi.lv/vadlinijas--skaidrojumi</w:t>
        </w:r>
      </w:hyperlink>
      <w:r w:rsidR="00CB2828">
        <w:t xml:space="preserve"> </w:t>
      </w:r>
    </w:p>
  </w:footnote>
  <w:footnote w:id="8">
    <w:p w:rsidR="001D0800" w:rsidRDefault="001D0800" w:rsidP="00C4395A">
      <w:pPr>
        <w:pStyle w:val="FootnoteText"/>
        <w:spacing w:after="0" w:line="240" w:lineRule="auto"/>
        <w:jc w:val="both"/>
      </w:pPr>
      <w:r>
        <w:rPr>
          <w:rStyle w:val="FootnoteReference"/>
        </w:rPr>
        <w:footnoteRef/>
      </w:r>
      <w:r>
        <w:t xml:space="preserve"> </w:t>
      </w:r>
      <w:proofErr w:type="spellStart"/>
      <w:r>
        <w:t>Detection</w:t>
      </w:r>
      <w:proofErr w:type="spellEnd"/>
      <w:r>
        <w:t xml:space="preserve"> </w:t>
      </w:r>
      <w:proofErr w:type="spellStart"/>
      <w:r>
        <w:t>of</w:t>
      </w:r>
      <w:proofErr w:type="spellEnd"/>
      <w:r>
        <w:t xml:space="preserve"> </w:t>
      </w:r>
      <w:proofErr w:type="spellStart"/>
      <w:r>
        <w:t>forged</w:t>
      </w:r>
      <w:proofErr w:type="spellEnd"/>
      <w:r>
        <w:t xml:space="preserve"> </w:t>
      </w:r>
      <w:proofErr w:type="spellStart"/>
      <w:r>
        <w:t>documents</w:t>
      </w:r>
      <w:proofErr w:type="spellEnd"/>
      <w:r>
        <w:t xml:space="preserve"> </w:t>
      </w:r>
      <w:proofErr w:type="spellStart"/>
      <w:r>
        <w:t>in</w:t>
      </w:r>
      <w:proofErr w:type="spellEnd"/>
      <w:r>
        <w:t xml:space="preserve"> </w:t>
      </w:r>
      <w:proofErr w:type="spellStart"/>
      <w:r>
        <w:t>the</w:t>
      </w:r>
      <w:proofErr w:type="spellEnd"/>
      <w:r>
        <w:t xml:space="preserve"> </w:t>
      </w:r>
      <w:proofErr w:type="spellStart"/>
      <w:r>
        <w:t>field</w:t>
      </w:r>
      <w:proofErr w:type="spellEnd"/>
      <w:r>
        <w:t xml:space="preserve"> </w:t>
      </w:r>
      <w:proofErr w:type="spellStart"/>
      <w:r>
        <w:t>of</w:t>
      </w:r>
      <w:proofErr w:type="spellEnd"/>
      <w:r>
        <w:t xml:space="preserve"> </w:t>
      </w:r>
      <w:proofErr w:type="spellStart"/>
      <w:r>
        <w:t>structural</w:t>
      </w:r>
      <w:proofErr w:type="spellEnd"/>
      <w:r>
        <w:t xml:space="preserve"> </w:t>
      </w:r>
      <w:proofErr w:type="spellStart"/>
      <w:r>
        <w:t>actions</w:t>
      </w:r>
      <w:proofErr w:type="spellEnd"/>
      <w:r>
        <w:t xml:space="preserve">, A </w:t>
      </w:r>
      <w:proofErr w:type="spellStart"/>
      <w:r>
        <w:t>practical</w:t>
      </w:r>
      <w:proofErr w:type="spellEnd"/>
      <w:r>
        <w:t xml:space="preserve"> </w:t>
      </w:r>
      <w:proofErr w:type="spellStart"/>
      <w:r>
        <w:t>guide</w:t>
      </w:r>
      <w:proofErr w:type="spellEnd"/>
      <w:r>
        <w:t xml:space="preserve"> </w:t>
      </w:r>
      <w:proofErr w:type="spellStart"/>
      <w:r>
        <w:t>for</w:t>
      </w:r>
      <w:proofErr w:type="spellEnd"/>
      <w:r>
        <w:t xml:space="preserve"> </w:t>
      </w:r>
      <w:proofErr w:type="spellStart"/>
      <w:r>
        <w:t>managing</w:t>
      </w:r>
      <w:proofErr w:type="spellEnd"/>
      <w:r>
        <w:t xml:space="preserve"> </w:t>
      </w:r>
      <w:proofErr w:type="spellStart"/>
      <w:r>
        <w:t>authorities</w:t>
      </w:r>
      <w:proofErr w:type="spellEnd"/>
      <w:r>
        <w:t xml:space="preserve">: </w:t>
      </w:r>
      <w:hyperlink r:id="rId6" w:history="1">
        <w:r w:rsidRPr="00BB7E08">
          <w:rPr>
            <w:rStyle w:val="Hyperlink"/>
          </w:rPr>
          <w:t>http://www.esfondi.lv/page.php?id=1017</w:t>
        </w:r>
      </w:hyperlink>
      <w:r>
        <w:t xml:space="preserve"> </w:t>
      </w:r>
    </w:p>
  </w:footnote>
  <w:footnote w:id="9">
    <w:p w:rsidR="001D0800" w:rsidRDefault="001D0800" w:rsidP="00C4395A">
      <w:pPr>
        <w:pStyle w:val="FootnoteText"/>
        <w:spacing w:after="0" w:line="240" w:lineRule="auto"/>
        <w:jc w:val="both"/>
      </w:pPr>
      <w:r>
        <w:rPr>
          <w:rStyle w:val="FootnoteReference"/>
        </w:rPr>
        <w:footnoteRef/>
      </w:r>
      <w:r>
        <w:t xml:space="preserve"> </w:t>
      </w:r>
      <w:proofErr w:type="spellStart"/>
      <w:r>
        <w:t>Identifying</w:t>
      </w:r>
      <w:proofErr w:type="spellEnd"/>
      <w:r>
        <w:t xml:space="preserve"> </w:t>
      </w:r>
      <w:proofErr w:type="spellStart"/>
      <w:r>
        <w:t>conflicts</w:t>
      </w:r>
      <w:proofErr w:type="spellEnd"/>
      <w:r>
        <w:t xml:space="preserve"> </w:t>
      </w:r>
      <w:proofErr w:type="spellStart"/>
      <w:r>
        <w:t>of</w:t>
      </w:r>
      <w:proofErr w:type="spellEnd"/>
      <w:r>
        <w:t xml:space="preserve"> </w:t>
      </w:r>
      <w:proofErr w:type="spellStart"/>
      <w:r>
        <w:t>interests</w:t>
      </w:r>
      <w:proofErr w:type="spellEnd"/>
      <w:r>
        <w:t xml:space="preserve"> </w:t>
      </w:r>
      <w:proofErr w:type="spellStart"/>
      <w:r>
        <w:t>in</w:t>
      </w:r>
      <w:proofErr w:type="spellEnd"/>
      <w:r>
        <w:t xml:space="preserve"> </w:t>
      </w:r>
      <w:proofErr w:type="spellStart"/>
      <w:r>
        <w:t>public</w:t>
      </w:r>
      <w:proofErr w:type="spellEnd"/>
      <w:r>
        <w:t xml:space="preserve"> </w:t>
      </w:r>
      <w:proofErr w:type="spellStart"/>
      <w:r>
        <w:t>procurement</w:t>
      </w:r>
      <w:proofErr w:type="spellEnd"/>
      <w:r>
        <w:t xml:space="preserve"> </w:t>
      </w:r>
      <w:proofErr w:type="spellStart"/>
      <w:r>
        <w:t>procedures</w:t>
      </w:r>
      <w:proofErr w:type="spellEnd"/>
      <w:r>
        <w:t xml:space="preserve"> </w:t>
      </w:r>
      <w:proofErr w:type="spellStart"/>
      <w:r>
        <w:t>for</w:t>
      </w:r>
      <w:proofErr w:type="spellEnd"/>
      <w:r>
        <w:t xml:space="preserve"> </w:t>
      </w:r>
      <w:proofErr w:type="spellStart"/>
      <w:r>
        <w:t>structural</w:t>
      </w:r>
      <w:proofErr w:type="spellEnd"/>
      <w:r>
        <w:t xml:space="preserve"> </w:t>
      </w:r>
      <w:proofErr w:type="spellStart"/>
      <w:r>
        <w:t>actions</w:t>
      </w:r>
      <w:proofErr w:type="spellEnd"/>
      <w:r>
        <w:t xml:space="preserve">, A </w:t>
      </w:r>
      <w:proofErr w:type="spellStart"/>
      <w:r>
        <w:t>practical</w:t>
      </w:r>
      <w:proofErr w:type="spellEnd"/>
      <w:r>
        <w:t xml:space="preserve"> </w:t>
      </w:r>
      <w:proofErr w:type="spellStart"/>
      <w:r>
        <w:t>guide</w:t>
      </w:r>
      <w:proofErr w:type="spellEnd"/>
      <w:r>
        <w:t xml:space="preserve"> </w:t>
      </w:r>
      <w:proofErr w:type="spellStart"/>
      <w:r>
        <w:t>for</w:t>
      </w:r>
      <w:proofErr w:type="spellEnd"/>
      <w:r>
        <w:t xml:space="preserve"> </w:t>
      </w:r>
      <w:proofErr w:type="spellStart"/>
      <w:r>
        <w:t>managers</w:t>
      </w:r>
      <w:proofErr w:type="spellEnd"/>
      <w:r>
        <w:t xml:space="preserve">: </w:t>
      </w:r>
      <w:hyperlink r:id="rId7" w:history="1">
        <w:r w:rsidRPr="00BB7E08">
          <w:rPr>
            <w:rStyle w:val="Hyperlink"/>
          </w:rPr>
          <w:t>http://www.esfondi.lv/page.php?id=1017</w:t>
        </w:r>
      </w:hyperlink>
      <w:r>
        <w:t xml:space="preserve"> </w:t>
      </w:r>
    </w:p>
  </w:footnote>
  <w:footnote w:id="10">
    <w:p w:rsidR="004856E1" w:rsidRDefault="004856E1" w:rsidP="00C4395A">
      <w:pPr>
        <w:pStyle w:val="FootnoteText"/>
        <w:spacing w:after="0" w:line="240" w:lineRule="auto"/>
        <w:jc w:val="both"/>
      </w:pPr>
      <w:r>
        <w:rPr>
          <w:rStyle w:val="FootnoteReference"/>
        </w:rPr>
        <w:footnoteRef/>
      </w:r>
      <w:r>
        <w:t xml:space="preserve"> </w:t>
      </w:r>
      <w:proofErr w:type="spellStart"/>
      <w:r w:rsidRPr="00D42C4F">
        <w:t>Guidance</w:t>
      </w:r>
      <w:proofErr w:type="spellEnd"/>
      <w:r w:rsidRPr="00D42C4F">
        <w:t xml:space="preserve"> </w:t>
      </w:r>
      <w:proofErr w:type="spellStart"/>
      <w:r w:rsidRPr="00D42C4F">
        <w:t>for</w:t>
      </w:r>
      <w:proofErr w:type="spellEnd"/>
      <w:r w:rsidRPr="00D42C4F">
        <w:t xml:space="preserve"> </w:t>
      </w:r>
      <w:proofErr w:type="spellStart"/>
      <w:r w:rsidRPr="00D42C4F">
        <w:t>Member</w:t>
      </w:r>
      <w:proofErr w:type="spellEnd"/>
      <w:r w:rsidRPr="00D42C4F">
        <w:t xml:space="preserve"> </w:t>
      </w:r>
      <w:proofErr w:type="spellStart"/>
      <w:r w:rsidRPr="00D42C4F">
        <w:t>States</w:t>
      </w:r>
      <w:proofErr w:type="spellEnd"/>
      <w:r w:rsidRPr="00D42C4F">
        <w:t xml:space="preserve"> </w:t>
      </w:r>
      <w:proofErr w:type="spellStart"/>
      <w:r w:rsidRPr="00D42C4F">
        <w:t>on</w:t>
      </w:r>
      <w:proofErr w:type="spellEnd"/>
      <w:r w:rsidRPr="00D42C4F">
        <w:t xml:space="preserve"> </w:t>
      </w:r>
      <w:proofErr w:type="spellStart"/>
      <w:r w:rsidRPr="00D42C4F">
        <w:t>Amounts</w:t>
      </w:r>
      <w:proofErr w:type="spellEnd"/>
      <w:r w:rsidRPr="00D42C4F">
        <w:t xml:space="preserve"> </w:t>
      </w:r>
      <w:proofErr w:type="spellStart"/>
      <w:r w:rsidRPr="00D42C4F">
        <w:t>Withdrawn</w:t>
      </w:r>
      <w:proofErr w:type="spellEnd"/>
      <w:r w:rsidRPr="00D42C4F">
        <w:t xml:space="preserve">, </w:t>
      </w:r>
      <w:proofErr w:type="spellStart"/>
      <w:r w:rsidRPr="00D42C4F">
        <w:t>Amounts</w:t>
      </w:r>
      <w:proofErr w:type="spellEnd"/>
      <w:r w:rsidRPr="00D42C4F">
        <w:t xml:space="preserve"> </w:t>
      </w:r>
      <w:proofErr w:type="spellStart"/>
      <w:r w:rsidRPr="00D42C4F">
        <w:t>Recovered</w:t>
      </w:r>
      <w:proofErr w:type="spellEnd"/>
      <w:r w:rsidRPr="00D42C4F">
        <w:t xml:space="preserve">, </w:t>
      </w:r>
      <w:proofErr w:type="spellStart"/>
      <w:r w:rsidRPr="00D42C4F">
        <w:t>Amounts</w:t>
      </w:r>
      <w:proofErr w:type="spellEnd"/>
      <w:r w:rsidRPr="00D42C4F">
        <w:t xml:space="preserve"> to </w:t>
      </w:r>
      <w:proofErr w:type="spellStart"/>
      <w:r w:rsidRPr="00D42C4F">
        <w:t>be</w:t>
      </w:r>
      <w:proofErr w:type="spellEnd"/>
      <w:r w:rsidRPr="00D42C4F">
        <w:t xml:space="preserve"> </w:t>
      </w:r>
      <w:proofErr w:type="spellStart"/>
      <w:r w:rsidRPr="00D42C4F">
        <w:t>Recovered</w:t>
      </w:r>
      <w:proofErr w:type="spellEnd"/>
      <w:r w:rsidRPr="00D42C4F">
        <w:t xml:space="preserve"> </w:t>
      </w:r>
      <w:proofErr w:type="spellStart"/>
      <w:r w:rsidRPr="00D42C4F">
        <w:t>in</w:t>
      </w:r>
      <w:proofErr w:type="spellEnd"/>
      <w:r w:rsidRPr="00D42C4F">
        <w:t xml:space="preserve"> </w:t>
      </w:r>
      <w:proofErr w:type="spellStart"/>
      <w:r w:rsidRPr="00D42C4F">
        <w:t>Irrecoverable</w:t>
      </w:r>
      <w:proofErr w:type="spellEnd"/>
      <w:r w:rsidRPr="00D42C4F">
        <w:t xml:space="preserve"> </w:t>
      </w:r>
      <w:proofErr w:type="spellStart"/>
      <w:r w:rsidRPr="00D42C4F">
        <w:t>Amounts</w:t>
      </w:r>
      <w:proofErr w:type="spellEnd"/>
      <w:r w:rsidRPr="00D42C4F">
        <w:t xml:space="preserve"> (EGESIF_15_0017-</w:t>
      </w:r>
      <w:r w:rsidR="002A4868" w:rsidRPr="00D42C4F">
        <w:t xml:space="preserve">02 </w:t>
      </w:r>
      <w:proofErr w:type="spellStart"/>
      <w:r w:rsidR="002A4868" w:rsidRPr="00D42C4F">
        <w:t>Final</w:t>
      </w:r>
      <w:proofErr w:type="spellEnd"/>
      <w:r w:rsidRPr="00D42C4F">
        <w:t>)</w:t>
      </w:r>
      <w:r w:rsidR="002A4868" w:rsidRPr="00D42C4F">
        <w:t xml:space="preserve"> – </w:t>
      </w:r>
      <w:hyperlink r:id="rId8" w:history="1">
        <w:r w:rsidR="006569BD" w:rsidRPr="00D42C4F">
          <w:rPr>
            <w:rStyle w:val="Hyperlink"/>
          </w:rPr>
          <w:t>http://ec.europa.eu/regional_policy/sources/docgener/informat/2014/guidance_withdrawals_recoveries_en.pdf</w:t>
        </w:r>
      </w:hyperlink>
      <w:r w:rsidR="006569BD">
        <w:t xml:space="preserve"> </w:t>
      </w:r>
    </w:p>
  </w:footnote>
  <w:footnote w:id="11">
    <w:p w:rsidR="004856E1" w:rsidRDefault="004856E1" w:rsidP="00C31CFB">
      <w:pPr>
        <w:pStyle w:val="FootnoteText"/>
        <w:spacing w:after="0" w:line="240" w:lineRule="auto"/>
      </w:pPr>
      <w:r>
        <w:rPr>
          <w:rStyle w:val="FootnoteReference"/>
        </w:rPr>
        <w:footnoteRef/>
      </w:r>
      <w:r>
        <w:t xml:space="preserve"> </w:t>
      </w:r>
      <w:proofErr w:type="spellStart"/>
      <w:r>
        <w:t>Guidance</w:t>
      </w:r>
      <w:proofErr w:type="spellEnd"/>
      <w:r>
        <w:t xml:space="preserve"> </w:t>
      </w:r>
      <w:proofErr w:type="spellStart"/>
      <w:r>
        <w:t>for</w:t>
      </w:r>
      <w:proofErr w:type="spellEnd"/>
      <w:r>
        <w:t xml:space="preserve"> </w:t>
      </w:r>
      <w:proofErr w:type="spellStart"/>
      <w:r>
        <w:t>Member</w:t>
      </w:r>
      <w:proofErr w:type="spellEnd"/>
      <w:r>
        <w:t xml:space="preserve"> </w:t>
      </w:r>
      <w:proofErr w:type="spellStart"/>
      <w:r>
        <w:t>States</w:t>
      </w:r>
      <w:proofErr w:type="spellEnd"/>
      <w:r>
        <w:t xml:space="preserve"> </w:t>
      </w:r>
      <w:proofErr w:type="spellStart"/>
      <w:r>
        <w:t>on</w:t>
      </w:r>
      <w:proofErr w:type="spellEnd"/>
      <w:r>
        <w:t xml:space="preserve"> </w:t>
      </w:r>
      <w:proofErr w:type="spellStart"/>
      <w:r>
        <w:t>preparation</w:t>
      </w:r>
      <w:proofErr w:type="spellEnd"/>
      <w:r>
        <w:t xml:space="preserve">, </w:t>
      </w:r>
      <w:proofErr w:type="spellStart"/>
      <w:r>
        <w:t>examination</w:t>
      </w:r>
      <w:proofErr w:type="spellEnd"/>
      <w:r>
        <w:t xml:space="preserve"> </w:t>
      </w:r>
      <w:proofErr w:type="spellStart"/>
      <w:r>
        <w:t>and</w:t>
      </w:r>
      <w:proofErr w:type="spellEnd"/>
      <w:r>
        <w:t xml:space="preserve"> </w:t>
      </w:r>
      <w:proofErr w:type="spellStart"/>
      <w:r>
        <w:t>acceptance</w:t>
      </w:r>
      <w:proofErr w:type="spellEnd"/>
      <w:r>
        <w:t xml:space="preserve"> </w:t>
      </w:r>
      <w:proofErr w:type="spellStart"/>
      <w:r>
        <w:t>of</w:t>
      </w:r>
      <w:proofErr w:type="spellEnd"/>
      <w:r>
        <w:t xml:space="preserve"> </w:t>
      </w:r>
      <w:proofErr w:type="spellStart"/>
      <w:r>
        <w:t>accounts</w:t>
      </w:r>
      <w:proofErr w:type="spellEnd"/>
      <w:r>
        <w:t xml:space="preserve"> (</w:t>
      </w:r>
      <w:r w:rsidRPr="004856E1">
        <w:t>EGESIF_15_001</w:t>
      </w:r>
      <w:r>
        <w:t>8</w:t>
      </w:r>
      <w:r w:rsidRPr="004856E1">
        <w:t>-</w:t>
      </w:r>
      <w:r w:rsidR="002A4868" w:rsidRPr="004856E1">
        <w:t>0</w:t>
      </w:r>
      <w:r w:rsidR="002A4868">
        <w:t xml:space="preserve">2 </w:t>
      </w:r>
      <w:proofErr w:type="spellStart"/>
      <w:r w:rsidR="002A4868">
        <w:t>Final</w:t>
      </w:r>
      <w:proofErr w:type="spellEnd"/>
      <w:r>
        <w:t>)</w:t>
      </w:r>
      <w:r w:rsidR="002A4868">
        <w:t xml:space="preserve"> – </w:t>
      </w:r>
      <w:hyperlink r:id="rId9" w:history="1">
        <w:r w:rsidR="00C4395A" w:rsidRPr="00EA763F">
          <w:rPr>
            <w:rStyle w:val="Hyperlink"/>
          </w:rPr>
          <w:t>http://ec.europa.eu/regional_policy/sources/docgener/informat/2014/guidance_prep_exam_accounts_en.pdf</w:t>
        </w:r>
      </w:hyperlink>
      <w:r w:rsidR="00C4395A">
        <w:t xml:space="preserve"> </w:t>
      </w:r>
    </w:p>
  </w:footnote>
  <w:footnote w:id="12">
    <w:p w:rsidR="006B7619" w:rsidRDefault="006B7619" w:rsidP="00C31CFB">
      <w:pPr>
        <w:pStyle w:val="FootnoteText"/>
        <w:spacing w:after="0" w:line="240" w:lineRule="auto"/>
      </w:pPr>
      <w:r>
        <w:rPr>
          <w:rStyle w:val="FootnoteReference"/>
        </w:rPr>
        <w:footnoteRef/>
      </w:r>
      <w:r>
        <w:t xml:space="preserve"> </w:t>
      </w:r>
      <w:proofErr w:type="spellStart"/>
      <w:r w:rsidRPr="006B7619">
        <w:t>Guidance</w:t>
      </w:r>
      <w:proofErr w:type="spellEnd"/>
      <w:r w:rsidRPr="006B7619">
        <w:t xml:space="preserve"> </w:t>
      </w:r>
      <w:proofErr w:type="spellStart"/>
      <w:r w:rsidRPr="006B7619">
        <w:t>on</w:t>
      </w:r>
      <w:proofErr w:type="spellEnd"/>
      <w:r w:rsidRPr="006B7619">
        <w:t xml:space="preserve"> </w:t>
      </w:r>
      <w:proofErr w:type="spellStart"/>
      <w:r w:rsidRPr="006B7619">
        <w:t>Simplified</w:t>
      </w:r>
      <w:proofErr w:type="spellEnd"/>
      <w:r w:rsidRPr="006B7619">
        <w:t xml:space="preserve"> </w:t>
      </w:r>
      <w:proofErr w:type="spellStart"/>
      <w:r w:rsidRPr="006B7619">
        <w:t>Cost</w:t>
      </w:r>
      <w:proofErr w:type="spellEnd"/>
      <w:r w:rsidRPr="006B7619">
        <w:t xml:space="preserve"> </w:t>
      </w:r>
      <w:proofErr w:type="spellStart"/>
      <w:r w:rsidRPr="006B7619">
        <w:t>Options</w:t>
      </w:r>
      <w:proofErr w:type="spellEnd"/>
      <w:r w:rsidRPr="006B7619">
        <w:t xml:space="preserve"> (</w:t>
      </w:r>
      <w:proofErr w:type="spellStart"/>
      <w:r w:rsidRPr="006B7619">
        <w:t>SCOs</w:t>
      </w:r>
      <w:proofErr w:type="spellEnd"/>
      <w:r w:rsidRPr="006B7619">
        <w:t xml:space="preserve">): </w:t>
      </w:r>
      <w:proofErr w:type="spellStart"/>
      <w:r w:rsidRPr="006B7619">
        <w:t>Flat</w:t>
      </w:r>
      <w:proofErr w:type="spellEnd"/>
      <w:r w:rsidRPr="006B7619">
        <w:t xml:space="preserve"> </w:t>
      </w:r>
      <w:proofErr w:type="spellStart"/>
      <w:r w:rsidRPr="006B7619">
        <w:t>rate</w:t>
      </w:r>
      <w:proofErr w:type="spellEnd"/>
      <w:r w:rsidRPr="006B7619">
        <w:t xml:space="preserve"> </w:t>
      </w:r>
      <w:proofErr w:type="spellStart"/>
      <w:r w:rsidRPr="006B7619">
        <w:t>financing</w:t>
      </w:r>
      <w:proofErr w:type="spellEnd"/>
      <w:r w:rsidRPr="006B7619">
        <w:t xml:space="preserve">, Standard </w:t>
      </w:r>
      <w:proofErr w:type="spellStart"/>
      <w:r w:rsidRPr="006B7619">
        <w:t>scales</w:t>
      </w:r>
      <w:proofErr w:type="spellEnd"/>
      <w:r w:rsidRPr="006B7619">
        <w:t xml:space="preserve"> </w:t>
      </w:r>
      <w:proofErr w:type="spellStart"/>
      <w:r w:rsidRPr="006B7619">
        <w:t>of</w:t>
      </w:r>
      <w:proofErr w:type="spellEnd"/>
      <w:r w:rsidRPr="006B7619">
        <w:t xml:space="preserve"> </w:t>
      </w:r>
      <w:proofErr w:type="spellStart"/>
      <w:r w:rsidRPr="006B7619">
        <w:t>unit</w:t>
      </w:r>
      <w:proofErr w:type="spellEnd"/>
      <w:r w:rsidRPr="006B7619">
        <w:t xml:space="preserve"> </w:t>
      </w:r>
      <w:proofErr w:type="spellStart"/>
      <w:r w:rsidRPr="006B7619">
        <w:t>costs</w:t>
      </w:r>
      <w:proofErr w:type="spellEnd"/>
      <w:r w:rsidRPr="006B7619">
        <w:t xml:space="preserve">, </w:t>
      </w:r>
      <w:proofErr w:type="spellStart"/>
      <w:r w:rsidRPr="006B7619">
        <w:t>Lump</w:t>
      </w:r>
      <w:proofErr w:type="spellEnd"/>
      <w:r w:rsidRPr="006B7619">
        <w:t xml:space="preserve"> sums</w:t>
      </w:r>
      <w:r w:rsidR="002A4868">
        <w:t xml:space="preserve"> – </w:t>
      </w:r>
      <w:hyperlink r:id="rId10" w:history="1">
        <w:r w:rsidR="002A4868" w:rsidRPr="00D6414B">
          <w:rPr>
            <w:rStyle w:val="Hyperlink"/>
          </w:rPr>
          <w:t>http://ec.europa.eu/regional_policy/sources/thefunds/fin_inst/pdf/simpl_cost_lv.pdf</w:t>
        </w:r>
      </w:hyperlink>
      <w:r w:rsidR="002A4868">
        <w:t xml:space="preserve"> </w:t>
      </w:r>
    </w:p>
  </w:footnote>
  <w:footnote w:id="13">
    <w:p w:rsidR="00B8666E" w:rsidRDefault="00B8666E" w:rsidP="00B8666E">
      <w:pPr>
        <w:pStyle w:val="FootnoteText"/>
        <w:spacing w:after="0"/>
      </w:pPr>
      <w:r>
        <w:rPr>
          <w:rStyle w:val="FootnoteReference"/>
        </w:rPr>
        <w:footnoteRef/>
      </w:r>
      <w:r>
        <w:t xml:space="preserve"> </w:t>
      </w:r>
      <w:r>
        <w:t xml:space="preserve">Pieejama - </w:t>
      </w:r>
      <w:hyperlink r:id="rId11" w:history="1">
        <w:r w:rsidRPr="0062640A">
          <w:rPr>
            <w:rStyle w:val="Hyperlink"/>
          </w:rPr>
          <w:t>http://www.esfondi.lv/vadlinijas--skaidrojumi</w:t>
        </w:r>
      </w:hyperlink>
      <w:r>
        <w:t xml:space="preserve"> </w:t>
      </w:r>
    </w:p>
  </w:footnote>
  <w:footnote w:id="14">
    <w:p w:rsidR="00FF2CDB" w:rsidRDefault="00FF2CDB" w:rsidP="00F326FC">
      <w:pPr>
        <w:pStyle w:val="FootnoteText"/>
        <w:spacing w:after="0"/>
      </w:pPr>
      <w:r>
        <w:rPr>
          <w:rStyle w:val="FootnoteReference"/>
        </w:rPr>
        <w:footnoteRef/>
      </w:r>
      <w:r>
        <w:t xml:space="preserve"> </w:t>
      </w:r>
      <w:r>
        <w:t xml:space="preserve">Pieejama - </w:t>
      </w:r>
      <w:hyperlink r:id="rId12" w:history="1">
        <w:r w:rsidR="008B7194" w:rsidRPr="007E5CAA">
          <w:rPr>
            <w:rStyle w:val="Hyperlink"/>
          </w:rPr>
          <w:t>http://www.esfondi.lv/kohezijas-politikas-fondu-vadibas-informacijas-sistema</w:t>
        </w:r>
      </w:hyperlink>
      <w:r w:rsidR="008B7194">
        <w:t xml:space="preserve"> </w:t>
      </w:r>
    </w:p>
  </w:footnote>
  <w:footnote w:id="15">
    <w:p w:rsidR="00357E45" w:rsidRDefault="00357E45" w:rsidP="00BB36BB">
      <w:pPr>
        <w:pStyle w:val="FootnoteText"/>
      </w:pPr>
      <w:r>
        <w:rPr>
          <w:rStyle w:val="FootnoteReference"/>
        </w:rPr>
        <w:footnoteRef/>
      </w:r>
      <w:r>
        <w:t xml:space="preserve"> Pieejamas - </w:t>
      </w:r>
      <w:hyperlink r:id="rId13" w:history="1">
        <w:r w:rsidR="00BB36BB" w:rsidRPr="0062640A">
          <w:rPr>
            <w:rStyle w:val="Hyperlink"/>
          </w:rPr>
          <w:t>http://www.esfondi.lv/vadlinijas--skaidrojumi</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57D" w:rsidRDefault="000245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57D" w:rsidRDefault="000245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3398"/>
      <w:gridCol w:w="1134"/>
      <w:gridCol w:w="1513"/>
      <w:gridCol w:w="1052"/>
    </w:tblGrid>
    <w:tr w:rsidR="002A0524" w:rsidRPr="000D70AB" w:rsidTr="00CB3E62">
      <w:trPr>
        <w:trHeight w:val="889"/>
        <w:jc w:val="center"/>
      </w:trPr>
      <w:tc>
        <w:tcPr>
          <w:tcW w:w="2551" w:type="dxa"/>
        </w:tcPr>
        <w:p w:rsidR="002A0524" w:rsidRPr="000D70AB" w:rsidRDefault="002A0524" w:rsidP="002A0524">
          <w:pPr>
            <w:tabs>
              <w:tab w:val="center" w:pos="4153"/>
              <w:tab w:val="right" w:pos="8306"/>
            </w:tabs>
            <w:spacing w:after="0" w:line="240" w:lineRule="auto"/>
            <w:ind w:right="360"/>
            <w:jc w:val="both"/>
            <w:rPr>
              <w:sz w:val="18"/>
            </w:rPr>
          </w:pPr>
          <w:r w:rsidRPr="000D70AB">
            <w:rPr>
              <w:sz w:val="18"/>
            </w:rPr>
            <w:t>Iestāde:</w:t>
          </w:r>
          <w:r w:rsidRPr="000D70AB">
            <w:rPr>
              <w:b/>
              <w:bCs/>
              <w:sz w:val="18"/>
            </w:rPr>
            <w:t xml:space="preserve"> Finanšu ministrija</w:t>
          </w:r>
        </w:p>
        <w:p w:rsidR="002A0524" w:rsidRPr="000D70AB" w:rsidRDefault="002A0524" w:rsidP="002A0524">
          <w:pPr>
            <w:tabs>
              <w:tab w:val="center" w:pos="4153"/>
              <w:tab w:val="right" w:pos="8306"/>
            </w:tabs>
            <w:spacing w:after="0" w:line="240" w:lineRule="auto"/>
            <w:jc w:val="both"/>
            <w:rPr>
              <w:b/>
              <w:bCs/>
              <w:sz w:val="18"/>
            </w:rPr>
          </w:pPr>
          <w:r w:rsidRPr="000D70AB">
            <w:rPr>
              <w:sz w:val="18"/>
            </w:rPr>
            <w:t>Struktūrvienība:</w:t>
          </w:r>
          <w:r w:rsidRPr="000D70AB">
            <w:rPr>
              <w:b/>
              <w:bCs/>
              <w:sz w:val="18"/>
            </w:rPr>
            <w:t xml:space="preserve"> </w:t>
          </w:r>
        </w:p>
        <w:p w:rsidR="002A0524" w:rsidRPr="000D70AB" w:rsidRDefault="002A0524" w:rsidP="002A0524">
          <w:pPr>
            <w:tabs>
              <w:tab w:val="center" w:pos="4153"/>
              <w:tab w:val="right" w:pos="8306"/>
            </w:tabs>
            <w:spacing w:after="0" w:line="240" w:lineRule="auto"/>
            <w:jc w:val="both"/>
            <w:rPr>
              <w:b/>
              <w:bCs/>
              <w:sz w:val="18"/>
            </w:rPr>
          </w:pPr>
          <w:r w:rsidRPr="000D70AB">
            <w:rPr>
              <w:b/>
              <w:bCs/>
              <w:sz w:val="18"/>
            </w:rPr>
            <w:t>Eiropas Savienības fondu vadības un kontroles departaments</w:t>
          </w:r>
        </w:p>
      </w:tc>
      <w:tc>
        <w:tcPr>
          <w:tcW w:w="3398" w:type="dxa"/>
        </w:tcPr>
        <w:p w:rsidR="002A0524" w:rsidRPr="000D70AB" w:rsidRDefault="002A0524" w:rsidP="002A0524">
          <w:pPr>
            <w:tabs>
              <w:tab w:val="center" w:pos="4153"/>
              <w:tab w:val="right" w:pos="8306"/>
            </w:tabs>
            <w:spacing w:after="0" w:line="240" w:lineRule="auto"/>
            <w:rPr>
              <w:sz w:val="18"/>
            </w:rPr>
          </w:pPr>
        </w:p>
      </w:tc>
      <w:tc>
        <w:tcPr>
          <w:tcW w:w="3699" w:type="dxa"/>
          <w:gridSpan w:val="3"/>
        </w:tcPr>
        <w:p w:rsidR="002A0524" w:rsidRPr="000D70AB" w:rsidRDefault="002A0524" w:rsidP="002A0524">
          <w:pPr>
            <w:tabs>
              <w:tab w:val="center" w:pos="4153"/>
              <w:tab w:val="right" w:pos="8306"/>
            </w:tabs>
            <w:spacing w:after="0" w:line="240" w:lineRule="auto"/>
            <w:rPr>
              <w:sz w:val="18"/>
            </w:rPr>
          </w:pPr>
          <w:r w:rsidRPr="000D70AB">
            <w:rPr>
              <w:sz w:val="18"/>
            </w:rPr>
            <w:t>Dokumenta nosaukums:</w:t>
          </w:r>
        </w:p>
        <w:p w:rsidR="002A0524" w:rsidRPr="000D70AB" w:rsidRDefault="002A0524" w:rsidP="002A0524">
          <w:pPr>
            <w:spacing w:after="0" w:line="240" w:lineRule="auto"/>
            <w:jc w:val="both"/>
            <w:rPr>
              <w:b/>
              <w:sz w:val="18"/>
              <w:szCs w:val="20"/>
            </w:rPr>
          </w:pPr>
          <w:r w:rsidRPr="000D70AB">
            <w:rPr>
              <w:b/>
              <w:sz w:val="18"/>
              <w:szCs w:val="20"/>
            </w:rPr>
            <w:t>Vadlīnijas par finanšu korekciju piemērošanu, ziņošanu par Eiropas Savienības fondu ieviešanā konstatētajām neatbilstībām, neatbilstoši veikto izdevumu atgūšanu 2014.-2020.gada plānošanas periodā</w:t>
          </w:r>
        </w:p>
      </w:tc>
    </w:tr>
    <w:tr w:rsidR="002A0524" w:rsidRPr="000D70AB" w:rsidTr="00CB3E62">
      <w:trPr>
        <w:trHeight w:val="876"/>
        <w:jc w:val="center"/>
      </w:trPr>
      <w:tc>
        <w:tcPr>
          <w:tcW w:w="2551" w:type="dxa"/>
          <w:tcBorders>
            <w:top w:val="single" w:sz="2" w:space="0" w:color="auto"/>
            <w:bottom w:val="single" w:sz="12" w:space="0" w:color="auto"/>
          </w:tcBorders>
        </w:tcPr>
        <w:p w:rsidR="002A0524" w:rsidRPr="000D70AB" w:rsidRDefault="002A0524" w:rsidP="002A0524">
          <w:pPr>
            <w:tabs>
              <w:tab w:val="center" w:pos="4153"/>
              <w:tab w:val="right" w:pos="8306"/>
            </w:tabs>
            <w:spacing w:after="0" w:line="240" w:lineRule="auto"/>
            <w:rPr>
              <w:b/>
              <w:bCs/>
              <w:sz w:val="18"/>
            </w:rPr>
          </w:pPr>
          <w:r w:rsidRPr="000D70AB">
            <w:rPr>
              <w:sz w:val="18"/>
            </w:rPr>
            <w:t>Sagatavoja:</w:t>
          </w:r>
          <w:r w:rsidRPr="000D70AB">
            <w:rPr>
              <w:b/>
              <w:bCs/>
              <w:sz w:val="18"/>
            </w:rPr>
            <w:t xml:space="preserve"> </w:t>
          </w:r>
        </w:p>
        <w:p w:rsidR="002A0524" w:rsidRPr="000D70AB" w:rsidRDefault="002A0524" w:rsidP="002A0524">
          <w:pPr>
            <w:tabs>
              <w:tab w:val="center" w:pos="4153"/>
              <w:tab w:val="right" w:pos="8306"/>
            </w:tabs>
            <w:spacing w:after="0" w:line="240" w:lineRule="auto"/>
            <w:jc w:val="both"/>
            <w:rPr>
              <w:sz w:val="18"/>
            </w:rPr>
          </w:pPr>
          <w:r w:rsidRPr="000D70AB">
            <w:rPr>
              <w:b/>
              <w:bCs/>
              <w:sz w:val="18"/>
            </w:rPr>
            <w:t>Eiropas Savienības fondu ieviešanas vadības nodaļa</w:t>
          </w:r>
        </w:p>
      </w:tc>
      <w:tc>
        <w:tcPr>
          <w:tcW w:w="3398" w:type="dxa"/>
          <w:tcBorders>
            <w:top w:val="single" w:sz="2" w:space="0" w:color="auto"/>
            <w:bottom w:val="single" w:sz="12" w:space="0" w:color="auto"/>
          </w:tcBorders>
        </w:tcPr>
        <w:p w:rsidR="002A0524" w:rsidRPr="000D70AB" w:rsidRDefault="002A0524" w:rsidP="002A0524">
          <w:pPr>
            <w:tabs>
              <w:tab w:val="center" w:pos="4153"/>
              <w:tab w:val="right" w:pos="8306"/>
            </w:tabs>
            <w:spacing w:after="0" w:line="240" w:lineRule="auto"/>
            <w:rPr>
              <w:b/>
              <w:bCs/>
              <w:sz w:val="18"/>
            </w:rPr>
          </w:pPr>
          <w:r w:rsidRPr="000D70AB">
            <w:rPr>
              <w:sz w:val="18"/>
            </w:rPr>
            <w:t xml:space="preserve">Apstiprināts: </w:t>
          </w:r>
          <w:r w:rsidRPr="000D70AB">
            <w:rPr>
              <w:b/>
              <w:bCs/>
              <w:sz w:val="18"/>
            </w:rPr>
            <w:t xml:space="preserve"> </w:t>
          </w:r>
        </w:p>
        <w:p w:rsidR="002A0524" w:rsidRPr="002F75FF" w:rsidRDefault="002A0524" w:rsidP="002A0524">
          <w:pPr>
            <w:tabs>
              <w:tab w:val="center" w:pos="4153"/>
              <w:tab w:val="right" w:pos="8306"/>
            </w:tabs>
            <w:spacing w:after="0" w:line="240" w:lineRule="auto"/>
            <w:jc w:val="both"/>
            <w:rPr>
              <w:b/>
              <w:bCs/>
              <w:sz w:val="18"/>
              <w:szCs w:val="18"/>
            </w:rPr>
          </w:pPr>
          <w:r w:rsidRPr="00F52CDB">
            <w:rPr>
              <w:b/>
              <w:bCs/>
              <w:sz w:val="18"/>
              <w:szCs w:val="18"/>
            </w:rPr>
            <w:t xml:space="preserve">Vadošās iestādes vadītāja vietā – Eiropas Savienības fondu uzraudzības departamenta direktore </w:t>
          </w:r>
          <w:proofErr w:type="spellStart"/>
          <w:r w:rsidRPr="00F52CDB">
            <w:rPr>
              <w:b/>
              <w:bCs/>
              <w:sz w:val="18"/>
              <w:szCs w:val="18"/>
            </w:rPr>
            <w:t>D.Rancāne</w:t>
          </w:r>
          <w:proofErr w:type="spellEnd"/>
        </w:p>
      </w:tc>
      <w:tc>
        <w:tcPr>
          <w:tcW w:w="1134" w:type="dxa"/>
          <w:tcBorders>
            <w:top w:val="single" w:sz="2" w:space="0" w:color="auto"/>
            <w:bottom w:val="single" w:sz="12" w:space="0" w:color="auto"/>
          </w:tcBorders>
        </w:tcPr>
        <w:p w:rsidR="002A0524" w:rsidRPr="000D70AB" w:rsidRDefault="002A0524" w:rsidP="002A0524">
          <w:pPr>
            <w:tabs>
              <w:tab w:val="center" w:pos="4153"/>
              <w:tab w:val="right" w:pos="8306"/>
            </w:tabs>
            <w:spacing w:after="0" w:line="240" w:lineRule="auto"/>
            <w:jc w:val="both"/>
            <w:rPr>
              <w:sz w:val="18"/>
            </w:rPr>
          </w:pPr>
          <w:r w:rsidRPr="000D70AB">
            <w:rPr>
              <w:sz w:val="18"/>
            </w:rPr>
            <w:t>Variants:</w:t>
          </w:r>
        </w:p>
        <w:p w:rsidR="002A0524" w:rsidRPr="000D70AB" w:rsidRDefault="009321AC" w:rsidP="002A0524">
          <w:pPr>
            <w:tabs>
              <w:tab w:val="center" w:pos="4153"/>
              <w:tab w:val="right" w:pos="8306"/>
            </w:tabs>
            <w:spacing w:after="0" w:line="240" w:lineRule="auto"/>
            <w:jc w:val="center"/>
            <w:rPr>
              <w:sz w:val="18"/>
            </w:rPr>
          </w:pPr>
          <w:r>
            <w:rPr>
              <w:sz w:val="18"/>
            </w:rPr>
            <w:t>4</w:t>
          </w:r>
          <w:bookmarkStart w:id="0" w:name="_GoBack"/>
          <w:bookmarkEnd w:id="0"/>
        </w:p>
      </w:tc>
      <w:tc>
        <w:tcPr>
          <w:tcW w:w="1513" w:type="dxa"/>
          <w:tcBorders>
            <w:top w:val="single" w:sz="2" w:space="0" w:color="auto"/>
            <w:bottom w:val="single" w:sz="12" w:space="0" w:color="auto"/>
          </w:tcBorders>
        </w:tcPr>
        <w:p w:rsidR="002A0524" w:rsidRPr="000D70AB" w:rsidRDefault="002A0524" w:rsidP="002A0524">
          <w:pPr>
            <w:tabs>
              <w:tab w:val="center" w:pos="4153"/>
              <w:tab w:val="right" w:pos="8306"/>
            </w:tabs>
            <w:spacing w:after="0" w:line="240" w:lineRule="auto"/>
            <w:jc w:val="both"/>
            <w:rPr>
              <w:sz w:val="18"/>
            </w:rPr>
          </w:pPr>
          <w:r w:rsidRPr="000D70AB">
            <w:rPr>
              <w:sz w:val="18"/>
            </w:rPr>
            <w:t>Datums:</w:t>
          </w:r>
        </w:p>
        <w:p w:rsidR="002A0524" w:rsidRPr="000D70AB" w:rsidRDefault="0002457D" w:rsidP="002A0524">
          <w:pPr>
            <w:tabs>
              <w:tab w:val="center" w:pos="4153"/>
              <w:tab w:val="right" w:pos="8306"/>
            </w:tabs>
            <w:spacing w:after="0" w:line="240" w:lineRule="auto"/>
            <w:jc w:val="center"/>
            <w:rPr>
              <w:sz w:val="18"/>
            </w:rPr>
          </w:pPr>
          <w:r>
            <w:rPr>
              <w:sz w:val="18"/>
              <w:szCs w:val="18"/>
            </w:rPr>
            <w:t>22.08.2017.</w:t>
          </w:r>
        </w:p>
      </w:tc>
      <w:tc>
        <w:tcPr>
          <w:tcW w:w="1052" w:type="dxa"/>
          <w:tcBorders>
            <w:top w:val="single" w:sz="2" w:space="0" w:color="auto"/>
            <w:bottom w:val="single" w:sz="12" w:space="0" w:color="auto"/>
          </w:tcBorders>
        </w:tcPr>
        <w:p w:rsidR="002A0524" w:rsidRPr="000D70AB" w:rsidRDefault="002A0524" w:rsidP="002A0524">
          <w:pPr>
            <w:tabs>
              <w:tab w:val="center" w:pos="4153"/>
              <w:tab w:val="right" w:pos="8306"/>
            </w:tabs>
            <w:spacing w:after="0" w:line="240" w:lineRule="auto"/>
            <w:jc w:val="both"/>
            <w:rPr>
              <w:sz w:val="18"/>
            </w:rPr>
          </w:pPr>
          <w:r w:rsidRPr="000D70AB">
            <w:rPr>
              <w:sz w:val="18"/>
            </w:rPr>
            <w:t>Lappuses:</w:t>
          </w:r>
        </w:p>
        <w:p w:rsidR="002A0524" w:rsidRPr="000D70AB" w:rsidRDefault="002A0524" w:rsidP="002A0524">
          <w:pPr>
            <w:tabs>
              <w:tab w:val="center" w:pos="4153"/>
              <w:tab w:val="right" w:pos="8306"/>
            </w:tabs>
            <w:spacing w:after="0" w:line="240" w:lineRule="auto"/>
            <w:jc w:val="center"/>
            <w:rPr>
              <w:b/>
              <w:sz w:val="18"/>
            </w:rPr>
          </w:pPr>
          <w:r w:rsidRPr="000D70AB">
            <w:rPr>
              <w:b/>
              <w:sz w:val="18"/>
            </w:rPr>
            <w:fldChar w:fldCharType="begin"/>
          </w:r>
          <w:r w:rsidRPr="000D70AB">
            <w:rPr>
              <w:b/>
              <w:sz w:val="18"/>
            </w:rPr>
            <w:instrText xml:space="preserve"> PAGE   \* MERGEFORMAT </w:instrText>
          </w:r>
          <w:r w:rsidRPr="000D70AB">
            <w:rPr>
              <w:b/>
              <w:sz w:val="18"/>
            </w:rPr>
            <w:fldChar w:fldCharType="separate"/>
          </w:r>
          <w:r w:rsidR="009321AC">
            <w:rPr>
              <w:b/>
              <w:noProof/>
              <w:sz w:val="18"/>
            </w:rPr>
            <w:t>1</w:t>
          </w:r>
          <w:r w:rsidRPr="000D70AB">
            <w:rPr>
              <w:b/>
              <w:sz w:val="18"/>
            </w:rPr>
            <w:fldChar w:fldCharType="end"/>
          </w:r>
          <w:r w:rsidRPr="000D70AB">
            <w:rPr>
              <w:b/>
              <w:sz w:val="18"/>
            </w:rPr>
            <w:t xml:space="preserve"> no 3</w:t>
          </w:r>
        </w:p>
        <w:p w:rsidR="002A0524" w:rsidRPr="000D70AB" w:rsidRDefault="002A0524" w:rsidP="002A0524">
          <w:pPr>
            <w:tabs>
              <w:tab w:val="center" w:pos="4153"/>
              <w:tab w:val="right" w:pos="8306"/>
            </w:tabs>
            <w:spacing w:after="0" w:line="240" w:lineRule="auto"/>
            <w:jc w:val="center"/>
            <w:rPr>
              <w:b/>
              <w:sz w:val="18"/>
            </w:rPr>
          </w:pPr>
        </w:p>
      </w:tc>
    </w:tr>
  </w:tbl>
  <w:p w:rsidR="002A0524" w:rsidRDefault="002A05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B2363"/>
    <w:multiLevelType w:val="multilevel"/>
    <w:tmpl w:val="5C12A7B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C3932C6"/>
    <w:multiLevelType w:val="hybridMultilevel"/>
    <w:tmpl w:val="2624B5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A1155EB"/>
    <w:multiLevelType w:val="hybridMultilevel"/>
    <w:tmpl w:val="165897E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mirrorMargins/>
  <w:proofState w:spelling="clean" w:grammar="clean"/>
  <w:documentProtection w:edit="trackedChanges" w:enforcement="0"/>
  <w:defaultTabStop w:val="720"/>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C5D"/>
    <w:rsid w:val="0001183C"/>
    <w:rsid w:val="0002457D"/>
    <w:rsid w:val="00026AC3"/>
    <w:rsid w:val="00041B7E"/>
    <w:rsid w:val="0004369C"/>
    <w:rsid w:val="00046A47"/>
    <w:rsid w:val="000648EB"/>
    <w:rsid w:val="00093591"/>
    <w:rsid w:val="000A47D8"/>
    <w:rsid w:val="000A6706"/>
    <w:rsid w:val="000B1C3B"/>
    <w:rsid w:val="000B7C1B"/>
    <w:rsid w:val="000D3B36"/>
    <w:rsid w:val="000D6232"/>
    <w:rsid w:val="000D70AB"/>
    <w:rsid w:val="000E307E"/>
    <w:rsid w:val="000E4863"/>
    <w:rsid w:val="00100CBC"/>
    <w:rsid w:val="00120FA9"/>
    <w:rsid w:val="0012554E"/>
    <w:rsid w:val="00170431"/>
    <w:rsid w:val="00180F1B"/>
    <w:rsid w:val="001D0800"/>
    <w:rsid w:val="001D3D9B"/>
    <w:rsid w:val="001E6364"/>
    <w:rsid w:val="00202326"/>
    <w:rsid w:val="002032DF"/>
    <w:rsid w:val="0021017B"/>
    <w:rsid w:val="0022709E"/>
    <w:rsid w:val="00234E1C"/>
    <w:rsid w:val="00235AB7"/>
    <w:rsid w:val="00245D74"/>
    <w:rsid w:val="002536BC"/>
    <w:rsid w:val="002A0524"/>
    <w:rsid w:val="002A1105"/>
    <w:rsid w:val="002A1D65"/>
    <w:rsid w:val="002A4868"/>
    <w:rsid w:val="002B7CC9"/>
    <w:rsid w:val="002D6FC8"/>
    <w:rsid w:val="002E0610"/>
    <w:rsid w:val="002E741D"/>
    <w:rsid w:val="002F75FF"/>
    <w:rsid w:val="00306DB3"/>
    <w:rsid w:val="00330256"/>
    <w:rsid w:val="00334583"/>
    <w:rsid w:val="00354E48"/>
    <w:rsid w:val="00357E45"/>
    <w:rsid w:val="00372CF2"/>
    <w:rsid w:val="00373663"/>
    <w:rsid w:val="003770CE"/>
    <w:rsid w:val="003956CC"/>
    <w:rsid w:val="003A71A1"/>
    <w:rsid w:val="003D4449"/>
    <w:rsid w:val="00400BB5"/>
    <w:rsid w:val="004578CA"/>
    <w:rsid w:val="00483551"/>
    <w:rsid w:val="004856E1"/>
    <w:rsid w:val="00487E54"/>
    <w:rsid w:val="00494F99"/>
    <w:rsid w:val="004A2BFD"/>
    <w:rsid w:val="004B6B1B"/>
    <w:rsid w:val="004D3CC7"/>
    <w:rsid w:val="004D3E62"/>
    <w:rsid w:val="004D4A87"/>
    <w:rsid w:val="004E3EFE"/>
    <w:rsid w:val="00523DDA"/>
    <w:rsid w:val="005506FD"/>
    <w:rsid w:val="00571F27"/>
    <w:rsid w:val="00576780"/>
    <w:rsid w:val="0058290C"/>
    <w:rsid w:val="00594B46"/>
    <w:rsid w:val="005A22DA"/>
    <w:rsid w:val="005D15C5"/>
    <w:rsid w:val="005D530F"/>
    <w:rsid w:val="005E3089"/>
    <w:rsid w:val="005F37E1"/>
    <w:rsid w:val="0062290B"/>
    <w:rsid w:val="00652547"/>
    <w:rsid w:val="006531CD"/>
    <w:rsid w:val="006569BD"/>
    <w:rsid w:val="006714B8"/>
    <w:rsid w:val="00672F04"/>
    <w:rsid w:val="006A2C7A"/>
    <w:rsid w:val="006B52B3"/>
    <w:rsid w:val="006B7619"/>
    <w:rsid w:val="006B7805"/>
    <w:rsid w:val="006C45A3"/>
    <w:rsid w:val="006C5AC8"/>
    <w:rsid w:val="00700E01"/>
    <w:rsid w:val="00704F0C"/>
    <w:rsid w:val="007101FB"/>
    <w:rsid w:val="0071538F"/>
    <w:rsid w:val="00720388"/>
    <w:rsid w:val="007613DD"/>
    <w:rsid w:val="00770AA6"/>
    <w:rsid w:val="00787207"/>
    <w:rsid w:val="00791A4B"/>
    <w:rsid w:val="007954FC"/>
    <w:rsid w:val="007A3CD8"/>
    <w:rsid w:val="007E488F"/>
    <w:rsid w:val="007F1EE4"/>
    <w:rsid w:val="007F4673"/>
    <w:rsid w:val="00841170"/>
    <w:rsid w:val="00841C49"/>
    <w:rsid w:val="0085107A"/>
    <w:rsid w:val="00855FD5"/>
    <w:rsid w:val="00860A84"/>
    <w:rsid w:val="0086526A"/>
    <w:rsid w:val="00875F63"/>
    <w:rsid w:val="0088211D"/>
    <w:rsid w:val="0089634A"/>
    <w:rsid w:val="00896CBC"/>
    <w:rsid w:val="008A6753"/>
    <w:rsid w:val="008B7194"/>
    <w:rsid w:val="00922450"/>
    <w:rsid w:val="00927002"/>
    <w:rsid w:val="00930A3F"/>
    <w:rsid w:val="009321AC"/>
    <w:rsid w:val="0094293F"/>
    <w:rsid w:val="009476EA"/>
    <w:rsid w:val="009616A6"/>
    <w:rsid w:val="0096331F"/>
    <w:rsid w:val="0096361F"/>
    <w:rsid w:val="009966E6"/>
    <w:rsid w:val="009A2742"/>
    <w:rsid w:val="009A323C"/>
    <w:rsid w:val="009B2D3A"/>
    <w:rsid w:val="009C6C11"/>
    <w:rsid w:val="009D2922"/>
    <w:rsid w:val="009E1778"/>
    <w:rsid w:val="00A21457"/>
    <w:rsid w:val="00A2774D"/>
    <w:rsid w:val="00A31716"/>
    <w:rsid w:val="00A5396C"/>
    <w:rsid w:val="00A5512A"/>
    <w:rsid w:val="00A60B19"/>
    <w:rsid w:val="00A76CAA"/>
    <w:rsid w:val="00A94BFF"/>
    <w:rsid w:val="00AA7B1F"/>
    <w:rsid w:val="00AC26EA"/>
    <w:rsid w:val="00AC330D"/>
    <w:rsid w:val="00AD173E"/>
    <w:rsid w:val="00AF0A3E"/>
    <w:rsid w:val="00B046F3"/>
    <w:rsid w:val="00B27961"/>
    <w:rsid w:val="00B4195B"/>
    <w:rsid w:val="00B456DC"/>
    <w:rsid w:val="00B52CF5"/>
    <w:rsid w:val="00B609ED"/>
    <w:rsid w:val="00B66BF6"/>
    <w:rsid w:val="00B85951"/>
    <w:rsid w:val="00B8666E"/>
    <w:rsid w:val="00B86CAE"/>
    <w:rsid w:val="00BA35D2"/>
    <w:rsid w:val="00BB36BB"/>
    <w:rsid w:val="00BB5281"/>
    <w:rsid w:val="00BC270F"/>
    <w:rsid w:val="00BD4B4F"/>
    <w:rsid w:val="00BD6B9C"/>
    <w:rsid w:val="00BF782B"/>
    <w:rsid w:val="00C07043"/>
    <w:rsid w:val="00C22F5A"/>
    <w:rsid w:val="00C31CFB"/>
    <w:rsid w:val="00C36645"/>
    <w:rsid w:val="00C4395A"/>
    <w:rsid w:val="00C44255"/>
    <w:rsid w:val="00C850E0"/>
    <w:rsid w:val="00CA3EC5"/>
    <w:rsid w:val="00CB2828"/>
    <w:rsid w:val="00CC5A6F"/>
    <w:rsid w:val="00CD4D95"/>
    <w:rsid w:val="00CE63D2"/>
    <w:rsid w:val="00D00817"/>
    <w:rsid w:val="00D10AC2"/>
    <w:rsid w:val="00D1303D"/>
    <w:rsid w:val="00D1693B"/>
    <w:rsid w:val="00D335F7"/>
    <w:rsid w:val="00D42C4F"/>
    <w:rsid w:val="00D43370"/>
    <w:rsid w:val="00D56873"/>
    <w:rsid w:val="00D7394B"/>
    <w:rsid w:val="00D817CE"/>
    <w:rsid w:val="00D82CD2"/>
    <w:rsid w:val="00D830E9"/>
    <w:rsid w:val="00D958CB"/>
    <w:rsid w:val="00D97AE9"/>
    <w:rsid w:val="00DB6DFA"/>
    <w:rsid w:val="00DD276C"/>
    <w:rsid w:val="00DE1B13"/>
    <w:rsid w:val="00DE1E07"/>
    <w:rsid w:val="00DF60CB"/>
    <w:rsid w:val="00E14009"/>
    <w:rsid w:val="00E16F17"/>
    <w:rsid w:val="00E26A6E"/>
    <w:rsid w:val="00E30BF2"/>
    <w:rsid w:val="00E54427"/>
    <w:rsid w:val="00E64F5F"/>
    <w:rsid w:val="00E74D77"/>
    <w:rsid w:val="00E763FF"/>
    <w:rsid w:val="00E76BBC"/>
    <w:rsid w:val="00EC1F99"/>
    <w:rsid w:val="00ED2139"/>
    <w:rsid w:val="00F15C1A"/>
    <w:rsid w:val="00F326FC"/>
    <w:rsid w:val="00F36DBB"/>
    <w:rsid w:val="00F52CDB"/>
    <w:rsid w:val="00F55D3B"/>
    <w:rsid w:val="00F606A1"/>
    <w:rsid w:val="00F608E2"/>
    <w:rsid w:val="00F82C7A"/>
    <w:rsid w:val="00F95E9B"/>
    <w:rsid w:val="00FD7C5D"/>
    <w:rsid w:val="00FE2606"/>
    <w:rsid w:val="00FF02C7"/>
    <w:rsid w:val="00FF2CD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31745"/>
    <o:shapelayout v:ext="edit">
      <o:idmap v:ext="edit" data="1"/>
    </o:shapelayout>
  </w:shapeDefaults>
  <w:decimalSymbol w:val="."/>
  <w:listSeparator w:val=";"/>
  <w14:docId w14:val="7D719E9A"/>
  <w15:chartTrackingRefBased/>
  <w15:docId w15:val="{D9BCAC51-0928-46BA-A630-C3B2A445D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361F"/>
    <w:pPr>
      <w:spacing w:after="200" w:line="276" w:lineRule="auto"/>
    </w:pPr>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D7C5D"/>
    <w:pPr>
      <w:spacing w:before="75" w:after="75" w:line="240" w:lineRule="auto"/>
    </w:pPr>
    <w:rPr>
      <w:rFonts w:eastAsia="Times New Roman"/>
      <w:szCs w:val="24"/>
      <w:lang w:eastAsia="lv-LV"/>
    </w:rPr>
  </w:style>
  <w:style w:type="paragraph" w:styleId="ListParagraph">
    <w:name w:val="List Paragraph"/>
    <w:basedOn w:val="Normal"/>
    <w:uiPriority w:val="34"/>
    <w:qFormat/>
    <w:rsid w:val="00D10AC2"/>
    <w:pPr>
      <w:spacing w:after="0" w:line="240" w:lineRule="auto"/>
      <w:ind w:left="720"/>
    </w:pPr>
    <w:rPr>
      <w:rFonts w:ascii="Calibri" w:hAnsi="Calibri"/>
      <w:sz w:val="22"/>
      <w:lang w:eastAsia="lv-LV"/>
    </w:rPr>
  </w:style>
  <w:style w:type="character" w:styleId="CommentReference">
    <w:name w:val="annotation reference"/>
    <w:uiPriority w:val="99"/>
    <w:semiHidden/>
    <w:unhideWhenUsed/>
    <w:rsid w:val="00DD276C"/>
    <w:rPr>
      <w:sz w:val="16"/>
      <w:szCs w:val="16"/>
    </w:rPr>
  </w:style>
  <w:style w:type="paragraph" w:styleId="CommentText">
    <w:name w:val="annotation text"/>
    <w:basedOn w:val="Normal"/>
    <w:link w:val="CommentTextChar"/>
    <w:uiPriority w:val="99"/>
    <w:semiHidden/>
    <w:unhideWhenUsed/>
    <w:rsid w:val="00DD276C"/>
    <w:rPr>
      <w:sz w:val="20"/>
      <w:szCs w:val="20"/>
      <w:lang w:eastAsia="x-none"/>
    </w:rPr>
  </w:style>
  <w:style w:type="character" w:customStyle="1" w:styleId="CommentTextChar">
    <w:name w:val="Comment Text Char"/>
    <w:link w:val="CommentText"/>
    <w:uiPriority w:val="99"/>
    <w:semiHidden/>
    <w:rsid w:val="00DD276C"/>
    <w:rPr>
      <w:lang w:val="lv-LV"/>
    </w:rPr>
  </w:style>
  <w:style w:type="paragraph" w:styleId="CommentSubject">
    <w:name w:val="annotation subject"/>
    <w:basedOn w:val="CommentText"/>
    <w:next w:val="CommentText"/>
    <w:link w:val="CommentSubjectChar"/>
    <w:uiPriority w:val="99"/>
    <w:semiHidden/>
    <w:unhideWhenUsed/>
    <w:rsid w:val="00DD276C"/>
    <w:rPr>
      <w:b/>
      <w:bCs/>
    </w:rPr>
  </w:style>
  <w:style w:type="character" w:customStyle="1" w:styleId="CommentSubjectChar">
    <w:name w:val="Comment Subject Char"/>
    <w:link w:val="CommentSubject"/>
    <w:uiPriority w:val="99"/>
    <w:semiHidden/>
    <w:rsid w:val="00DD276C"/>
    <w:rPr>
      <w:b/>
      <w:bCs/>
      <w:lang w:val="lv-LV"/>
    </w:rPr>
  </w:style>
  <w:style w:type="paragraph" w:styleId="BalloonText">
    <w:name w:val="Balloon Text"/>
    <w:basedOn w:val="Normal"/>
    <w:link w:val="BalloonTextChar"/>
    <w:uiPriority w:val="99"/>
    <w:semiHidden/>
    <w:unhideWhenUsed/>
    <w:rsid w:val="00DD276C"/>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DD276C"/>
    <w:rPr>
      <w:rFonts w:ascii="Tahoma" w:hAnsi="Tahoma" w:cs="Tahoma"/>
      <w:sz w:val="16"/>
      <w:szCs w:val="16"/>
      <w:lang w:val="lv-LV"/>
    </w:rPr>
  </w:style>
  <w:style w:type="paragraph" w:styleId="FootnoteText">
    <w:name w:val="footnote text"/>
    <w:basedOn w:val="Normal"/>
    <w:link w:val="FootnoteTextChar"/>
    <w:uiPriority w:val="99"/>
    <w:semiHidden/>
    <w:unhideWhenUsed/>
    <w:rsid w:val="00700E01"/>
    <w:rPr>
      <w:sz w:val="20"/>
      <w:szCs w:val="20"/>
      <w:lang w:eastAsia="x-none"/>
    </w:rPr>
  </w:style>
  <w:style w:type="character" w:customStyle="1" w:styleId="FootnoteTextChar">
    <w:name w:val="Footnote Text Char"/>
    <w:link w:val="FootnoteText"/>
    <w:uiPriority w:val="99"/>
    <w:semiHidden/>
    <w:rsid w:val="00700E01"/>
    <w:rPr>
      <w:lang w:val="lv-LV"/>
    </w:rPr>
  </w:style>
  <w:style w:type="character" w:styleId="FootnoteReference">
    <w:name w:val="footnote reference"/>
    <w:uiPriority w:val="99"/>
    <w:semiHidden/>
    <w:unhideWhenUsed/>
    <w:rsid w:val="00700E01"/>
    <w:rPr>
      <w:vertAlign w:val="superscript"/>
    </w:rPr>
  </w:style>
  <w:style w:type="character" w:styleId="Hyperlink">
    <w:name w:val="Hyperlink"/>
    <w:uiPriority w:val="99"/>
    <w:unhideWhenUsed/>
    <w:rsid w:val="00930A3F"/>
    <w:rPr>
      <w:color w:val="0563C1"/>
      <w:u w:val="single"/>
    </w:rPr>
  </w:style>
  <w:style w:type="paragraph" w:styleId="Header">
    <w:name w:val="header"/>
    <w:basedOn w:val="Normal"/>
    <w:link w:val="HeaderChar"/>
    <w:uiPriority w:val="99"/>
    <w:unhideWhenUsed/>
    <w:rsid w:val="000D6232"/>
    <w:pPr>
      <w:tabs>
        <w:tab w:val="center" w:pos="4153"/>
        <w:tab w:val="right" w:pos="8306"/>
      </w:tabs>
    </w:pPr>
    <w:rPr>
      <w:lang w:val="x-none"/>
    </w:rPr>
  </w:style>
  <w:style w:type="character" w:customStyle="1" w:styleId="HeaderChar">
    <w:name w:val="Header Char"/>
    <w:link w:val="Header"/>
    <w:uiPriority w:val="99"/>
    <w:rsid w:val="000D6232"/>
    <w:rPr>
      <w:sz w:val="24"/>
      <w:szCs w:val="22"/>
      <w:lang w:eastAsia="en-US"/>
    </w:rPr>
  </w:style>
  <w:style w:type="paragraph" w:styleId="Footer">
    <w:name w:val="footer"/>
    <w:basedOn w:val="Normal"/>
    <w:link w:val="FooterChar"/>
    <w:uiPriority w:val="99"/>
    <w:unhideWhenUsed/>
    <w:rsid w:val="000D6232"/>
    <w:pPr>
      <w:tabs>
        <w:tab w:val="center" w:pos="4153"/>
        <w:tab w:val="right" w:pos="8306"/>
      </w:tabs>
    </w:pPr>
    <w:rPr>
      <w:lang w:val="x-none"/>
    </w:rPr>
  </w:style>
  <w:style w:type="character" w:customStyle="1" w:styleId="FooterChar">
    <w:name w:val="Footer Char"/>
    <w:link w:val="Footer"/>
    <w:uiPriority w:val="99"/>
    <w:rsid w:val="000D6232"/>
    <w:rPr>
      <w:sz w:val="24"/>
      <w:szCs w:val="22"/>
      <w:lang w:eastAsia="en-US"/>
    </w:rPr>
  </w:style>
  <w:style w:type="character" w:styleId="FollowedHyperlink">
    <w:name w:val="FollowedHyperlink"/>
    <w:uiPriority w:val="99"/>
    <w:semiHidden/>
    <w:unhideWhenUsed/>
    <w:rsid w:val="00D830E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128983">
      <w:bodyDiv w:val="1"/>
      <w:marLeft w:val="0"/>
      <w:marRight w:val="0"/>
      <w:marTop w:val="0"/>
      <w:marBottom w:val="0"/>
      <w:divBdr>
        <w:top w:val="none" w:sz="0" w:space="0" w:color="auto"/>
        <w:left w:val="none" w:sz="0" w:space="0" w:color="auto"/>
        <w:bottom w:val="none" w:sz="0" w:space="0" w:color="auto"/>
        <w:right w:val="none" w:sz="0" w:space="0" w:color="auto"/>
      </w:divBdr>
    </w:div>
    <w:div w:id="289826596">
      <w:bodyDiv w:val="1"/>
      <w:marLeft w:val="0"/>
      <w:marRight w:val="0"/>
      <w:marTop w:val="0"/>
      <w:marBottom w:val="0"/>
      <w:divBdr>
        <w:top w:val="none" w:sz="0" w:space="0" w:color="auto"/>
        <w:left w:val="none" w:sz="0" w:space="0" w:color="auto"/>
        <w:bottom w:val="none" w:sz="0" w:space="0" w:color="auto"/>
        <w:right w:val="none" w:sz="0" w:space="0" w:color="auto"/>
      </w:divBdr>
    </w:div>
    <w:div w:id="356351255">
      <w:bodyDiv w:val="1"/>
      <w:marLeft w:val="0"/>
      <w:marRight w:val="0"/>
      <w:marTop w:val="0"/>
      <w:marBottom w:val="0"/>
      <w:divBdr>
        <w:top w:val="none" w:sz="0" w:space="0" w:color="auto"/>
        <w:left w:val="none" w:sz="0" w:space="0" w:color="auto"/>
        <w:bottom w:val="none" w:sz="0" w:space="0" w:color="auto"/>
        <w:right w:val="none" w:sz="0" w:space="0" w:color="auto"/>
      </w:divBdr>
    </w:div>
    <w:div w:id="893738835">
      <w:bodyDiv w:val="1"/>
      <w:marLeft w:val="0"/>
      <w:marRight w:val="0"/>
      <w:marTop w:val="0"/>
      <w:marBottom w:val="0"/>
      <w:divBdr>
        <w:top w:val="none" w:sz="0" w:space="0" w:color="auto"/>
        <w:left w:val="none" w:sz="0" w:space="0" w:color="auto"/>
        <w:bottom w:val="none" w:sz="0" w:space="0" w:color="auto"/>
        <w:right w:val="none" w:sz="0" w:space="0" w:color="auto"/>
      </w:divBdr>
    </w:div>
    <w:div w:id="1331367486">
      <w:bodyDiv w:val="1"/>
      <w:marLeft w:val="0"/>
      <w:marRight w:val="0"/>
      <w:marTop w:val="0"/>
      <w:marBottom w:val="0"/>
      <w:divBdr>
        <w:top w:val="none" w:sz="0" w:space="0" w:color="auto"/>
        <w:left w:val="none" w:sz="0" w:space="0" w:color="auto"/>
        <w:bottom w:val="none" w:sz="0" w:space="0" w:color="auto"/>
        <w:right w:val="none" w:sz="0" w:space="0" w:color="auto"/>
      </w:divBdr>
    </w:div>
    <w:div w:id="1718360132">
      <w:bodyDiv w:val="1"/>
      <w:marLeft w:val="0"/>
      <w:marRight w:val="0"/>
      <w:marTop w:val="0"/>
      <w:marBottom w:val="0"/>
      <w:divBdr>
        <w:top w:val="none" w:sz="0" w:space="0" w:color="auto"/>
        <w:left w:val="none" w:sz="0" w:space="0" w:color="auto"/>
        <w:bottom w:val="none" w:sz="0" w:space="0" w:color="auto"/>
        <w:right w:val="none" w:sz="0" w:space="0" w:color="auto"/>
      </w:divBdr>
    </w:div>
    <w:div w:id="191254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ec.europa.eu/regional_policy/sources/docgener/informat/2014/guidance_withdrawals_recoveries_en.pdf" TargetMode="External"/><Relationship Id="rId13" Type="http://schemas.openxmlformats.org/officeDocument/2006/relationships/hyperlink" Target="http://www.esfondi.lv/vadlinijas--skaidrojumi" TargetMode="External"/><Relationship Id="rId3" Type="http://schemas.openxmlformats.org/officeDocument/2006/relationships/hyperlink" Target="http://eur-lex.europa.eu/legal-content/EN/TXT/?uri=uriserv:OJ.L_.2015.293.01.0020.01.ENG" TargetMode="External"/><Relationship Id="rId7" Type="http://schemas.openxmlformats.org/officeDocument/2006/relationships/hyperlink" Target="http://www.esfondi.lv/page.php?id=1017" TargetMode="External"/><Relationship Id="rId12" Type="http://schemas.openxmlformats.org/officeDocument/2006/relationships/hyperlink" Target="http://www.esfondi.lv/kohezijas-politikas-fondu-vadibas-informacijas-sistema" TargetMode="External"/><Relationship Id="rId2" Type="http://schemas.openxmlformats.org/officeDocument/2006/relationships/hyperlink" Target="http://eur-lex.europa.eu/legal-content/EN/TXT/?uri=uriserv:OJ.L_.2015.293.01.0001.01.ENG" TargetMode="External"/><Relationship Id="rId1" Type="http://schemas.openxmlformats.org/officeDocument/2006/relationships/hyperlink" Target="http://eur-lex.europa.eu/legal-content/LV/TXT/?uri=CELEX:32015R0848&amp;qid=1464939698601" TargetMode="External"/><Relationship Id="rId6" Type="http://schemas.openxmlformats.org/officeDocument/2006/relationships/hyperlink" Target="http://www.esfondi.lv/page.php?id=1017" TargetMode="External"/><Relationship Id="rId11" Type="http://schemas.openxmlformats.org/officeDocument/2006/relationships/hyperlink" Target="http://www.esfondi.lv/vadlinijas--skaidrojumi" TargetMode="External"/><Relationship Id="rId5" Type="http://schemas.openxmlformats.org/officeDocument/2006/relationships/hyperlink" Target="http://www.esfondi.lv/vadlinijas--skaidrojumi" TargetMode="External"/><Relationship Id="rId10" Type="http://schemas.openxmlformats.org/officeDocument/2006/relationships/hyperlink" Target="http://ec.europa.eu/regional_policy/sources/thefunds/fin_inst/pdf/simpl_cost_lv.pdf" TargetMode="External"/><Relationship Id="rId4" Type="http://schemas.openxmlformats.org/officeDocument/2006/relationships/hyperlink" Target="http://eur-lex.europa.eu/legal-content/LV/TXT/?uri=CELEX:32016R0568" TargetMode="External"/><Relationship Id="rId9" Type="http://schemas.openxmlformats.org/officeDocument/2006/relationships/hyperlink" Target="http://ec.europa.eu/regional_policy/sources/docgener/informat/2014/guidance_prep_exam_accounts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70351-3827-400D-ABEF-37020D55A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2950</Words>
  <Characters>1682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fm</Company>
  <LinksUpToDate>false</LinksUpToDate>
  <CharactersWithSpaces>4623</CharactersWithSpaces>
  <SharedDoc>false</SharedDoc>
  <HLinks>
    <vt:vector size="78" baseType="variant">
      <vt:variant>
        <vt:i4>3866738</vt:i4>
      </vt:variant>
      <vt:variant>
        <vt:i4>36</vt:i4>
      </vt:variant>
      <vt:variant>
        <vt:i4>0</vt:i4>
      </vt:variant>
      <vt:variant>
        <vt:i4>5</vt:i4>
      </vt:variant>
      <vt:variant>
        <vt:lpwstr>http://www.esfondi.lv/page.php?id=1196</vt:lpwstr>
      </vt:variant>
      <vt:variant>
        <vt:lpwstr/>
      </vt:variant>
      <vt:variant>
        <vt:i4>3932280</vt:i4>
      </vt:variant>
      <vt:variant>
        <vt:i4>33</vt:i4>
      </vt:variant>
      <vt:variant>
        <vt:i4>0</vt:i4>
      </vt:variant>
      <vt:variant>
        <vt:i4>5</vt:i4>
      </vt:variant>
      <vt:variant>
        <vt:lpwstr>http://www.esfondi.lv/page.php?id=1232</vt:lpwstr>
      </vt:variant>
      <vt:variant>
        <vt:lpwstr/>
      </vt:variant>
      <vt:variant>
        <vt:i4>4980802</vt:i4>
      </vt:variant>
      <vt:variant>
        <vt:i4>30</vt:i4>
      </vt:variant>
      <vt:variant>
        <vt:i4>0</vt:i4>
      </vt:variant>
      <vt:variant>
        <vt:i4>5</vt:i4>
      </vt:variant>
      <vt:variant>
        <vt:lpwstr>http://www.esfondi.lv/vadlinijas--skaidrojumi</vt:lpwstr>
      </vt:variant>
      <vt:variant>
        <vt:lpwstr/>
      </vt:variant>
      <vt:variant>
        <vt:i4>4587605</vt:i4>
      </vt:variant>
      <vt:variant>
        <vt:i4>27</vt:i4>
      </vt:variant>
      <vt:variant>
        <vt:i4>0</vt:i4>
      </vt:variant>
      <vt:variant>
        <vt:i4>5</vt:i4>
      </vt:variant>
      <vt:variant>
        <vt:lpwstr>http://ec.europa.eu/regional_policy/sources/thefunds/fin_inst/pdf/simpl_cost_lv.pdf</vt:lpwstr>
      </vt:variant>
      <vt:variant>
        <vt:lpwstr/>
      </vt:variant>
      <vt:variant>
        <vt:i4>5177440</vt:i4>
      </vt:variant>
      <vt:variant>
        <vt:i4>24</vt:i4>
      </vt:variant>
      <vt:variant>
        <vt:i4>0</vt:i4>
      </vt:variant>
      <vt:variant>
        <vt:i4>5</vt:i4>
      </vt:variant>
      <vt:variant>
        <vt:lpwstr>http://ec.europa.eu/regional_policy/sources/docgener/informat/2014/guidance_prep_exam_accounts_en.pdf</vt:lpwstr>
      </vt:variant>
      <vt:variant>
        <vt:lpwstr/>
      </vt:variant>
      <vt:variant>
        <vt:i4>4522072</vt:i4>
      </vt:variant>
      <vt:variant>
        <vt:i4>21</vt:i4>
      </vt:variant>
      <vt:variant>
        <vt:i4>0</vt:i4>
      </vt:variant>
      <vt:variant>
        <vt:i4>5</vt:i4>
      </vt:variant>
      <vt:variant>
        <vt:lpwstr>http://ec.europa.eu/regional_policy/sources/docgener/informat/2014/guidance_withdrawals_recoveries_en.pdf</vt:lpwstr>
      </vt:variant>
      <vt:variant>
        <vt:lpwstr/>
      </vt:variant>
      <vt:variant>
        <vt:i4>3866746</vt:i4>
      </vt:variant>
      <vt:variant>
        <vt:i4>18</vt:i4>
      </vt:variant>
      <vt:variant>
        <vt:i4>0</vt:i4>
      </vt:variant>
      <vt:variant>
        <vt:i4>5</vt:i4>
      </vt:variant>
      <vt:variant>
        <vt:lpwstr>http://www.esfondi.lv/page.php?id=1017</vt:lpwstr>
      </vt:variant>
      <vt:variant>
        <vt:lpwstr/>
      </vt:variant>
      <vt:variant>
        <vt:i4>3866746</vt:i4>
      </vt:variant>
      <vt:variant>
        <vt:i4>15</vt:i4>
      </vt:variant>
      <vt:variant>
        <vt:i4>0</vt:i4>
      </vt:variant>
      <vt:variant>
        <vt:i4>5</vt:i4>
      </vt:variant>
      <vt:variant>
        <vt:lpwstr>http://www.esfondi.lv/page.php?id=1017</vt:lpwstr>
      </vt:variant>
      <vt:variant>
        <vt:lpwstr/>
      </vt:variant>
      <vt:variant>
        <vt:i4>3866746</vt:i4>
      </vt:variant>
      <vt:variant>
        <vt:i4>12</vt:i4>
      </vt:variant>
      <vt:variant>
        <vt:i4>0</vt:i4>
      </vt:variant>
      <vt:variant>
        <vt:i4>5</vt:i4>
      </vt:variant>
      <vt:variant>
        <vt:lpwstr>http://www.esfondi.lv/page.php?id=1017</vt:lpwstr>
      </vt:variant>
      <vt:variant>
        <vt:lpwstr/>
      </vt:variant>
      <vt:variant>
        <vt:i4>2293792</vt:i4>
      </vt:variant>
      <vt:variant>
        <vt:i4>9</vt:i4>
      </vt:variant>
      <vt:variant>
        <vt:i4>0</vt:i4>
      </vt:variant>
      <vt:variant>
        <vt:i4>5</vt:i4>
      </vt:variant>
      <vt:variant>
        <vt:lpwstr>http://eur-lex.europa.eu/legal-content/LV/TXT/?uri=CELEX:32016R0568</vt:lpwstr>
      </vt:variant>
      <vt:variant>
        <vt:lpwstr/>
      </vt:variant>
      <vt:variant>
        <vt:i4>7012429</vt:i4>
      </vt:variant>
      <vt:variant>
        <vt:i4>6</vt:i4>
      </vt:variant>
      <vt:variant>
        <vt:i4>0</vt:i4>
      </vt:variant>
      <vt:variant>
        <vt:i4>5</vt:i4>
      </vt:variant>
      <vt:variant>
        <vt:lpwstr>http://eur-lex.europa.eu/legal-content/EN/TXT/?uri=uriserv:OJ.L_.2015.293.01.0020.01.ENG</vt:lpwstr>
      </vt:variant>
      <vt:variant>
        <vt:lpwstr/>
      </vt:variant>
      <vt:variant>
        <vt:i4>6881356</vt:i4>
      </vt:variant>
      <vt:variant>
        <vt:i4>3</vt:i4>
      </vt:variant>
      <vt:variant>
        <vt:i4>0</vt:i4>
      </vt:variant>
      <vt:variant>
        <vt:i4>5</vt:i4>
      </vt:variant>
      <vt:variant>
        <vt:lpwstr>http://eur-lex.europa.eu/legal-content/EN/TXT/?uri=uriserv:OJ.L_.2015.293.01.0001.01.ENG</vt:lpwstr>
      </vt:variant>
      <vt:variant>
        <vt:lpwstr/>
      </vt:variant>
      <vt:variant>
        <vt:i4>6094856</vt:i4>
      </vt:variant>
      <vt:variant>
        <vt:i4>0</vt:i4>
      </vt:variant>
      <vt:variant>
        <vt:i4>0</vt:i4>
      </vt:variant>
      <vt:variant>
        <vt:i4>5</vt:i4>
      </vt:variant>
      <vt:variant>
        <vt:lpwstr>http://eur-lex.europa.eu/legal-content/LV/TXT/?uri=CELEX:32015R0848&amp;qid=1464939698601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pd-apsen</dc:creator>
  <cp:keywords/>
  <dc:description/>
  <cp:lastModifiedBy>Aļesja Boriseviča</cp:lastModifiedBy>
  <cp:revision>20</cp:revision>
  <cp:lastPrinted>2017-08-18T10:54:00Z</cp:lastPrinted>
  <dcterms:created xsi:type="dcterms:W3CDTF">2016-08-26T06:15:00Z</dcterms:created>
  <dcterms:modified xsi:type="dcterms:W3CDTF">2017-08-22T08:55:00Z</dcterms:modified>
</cp:coreProperties>
</file>