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FDB" w:rsidRPr="00DC56C6" w:rsidRDefault="00DC56C6" w:rsidP="00DC56C6">
      <w:pPr>
        <w:jc w:val="right"/>
        <w:rPr>
          <w:rFonts w:ascii="Times New Roman" w:hAnsi="Times New Roman" w:cs="Times New Roman"/>
          <w:sz w:val="24"/>
          <w:szCs w:val="24"/>
        </w:rPr>
      </w:pPr>
      <w:r w:rsidRPr="00DC56C6">
        <w:rPr>
          <w:rFonts w:ascii="Times New Roman" w:hAnsi="Times New Roman" w:cs="Times New Roman"/>
          <w:sz w:val="24"/>
          <w:szCs w:val="24"/>
        </w:rPr>
        <w:t>2.pielikums</w:t>
      </w:r>
    </w:p>
    <w:p w:rsidR="00DC56C6" w:rsidRPr="00DC56C6" w:rsidRDefault="00DC56C6" w:rsidP="00DC56C6">
      <w:pPr>
        <w:keepNext/>
        <w:widowControl w:val="0"/>
        <w:suppressAutoHyphens/>
        <w:spacing w:after="0" w:line="240" w:lineRule="auto"/>
        <w:ind w:left="450" w:hanging="450"/>
        <w:jc w:val="center"/>
        <w:textAlignment w:val="baseline"/>
        <w:outlineLvl w:val="2"/>
        <w:rPr>
          <w:rFonts w:ascii="Times New Roman" w:eastAsia="Times New Roman" w:hAnsi="Times New Roman" w:cs="Times New Roman"/>
          <w:b/>
          <w:bCs/>
          <w:sz w:val="26"/>
          <w:szCs w:val="26"/>
          <w:lang w:eastAsia="ar-SA"/>
        </w:rPr>
      </w:pPr>
      <w:r w:rsidRPr="00DC56C6">
        <w:rPr>
          <w:rFonts w:ascii="Times New Roman" w:eastAsia="Times New Roman" w:hAnsi="Times New Roman" w:cs="Times New Roman"/>
          <w:b/>
          <w:bCs/>
          <w:sz w:val="26"/>
          <w:szCs w:val="26"/>
          <w:lang w:eastAsia="ar-SA"/>
        </w:rPr>
        <w:t>Terminu skaidrojumi</w:t>
      </w:r>
    </w:p>
    <w:p w:rsidR="00DC56C6" w:rsidRPr="00DC56C6" w:rsidRDefault="00DC56C6" w:rsidP="00D35834">
      <w:pPr>
        <w:keepNext/>
        <w:widowControl w:val="0"/>
        <w:suppressAutoHyphens/>
        <w:spacing w:after="0" w:line="240" w:lineRule="auto"/>
        <w:ind w:left="450" w:hanging="450"/>
        <w:textAlignment w:val="baseline"/>
        <w:outlineLvl w:val="2"/>
        <w:rPr>
          <w:rFonts w:ascii="Times New Roman" w:eastAsia="Times New Roman" w:hAnsi="Times New Roman" w:cs="Times New Roman"/>
          <w:b/>
          <w:bCs/>
          <w:sz w:val="26"/>
          <w:szCs w:val="26"/>
          <w:lang w:eastAsia="ar-SA"/>
        </w:rPr>
      </w:pPr>
    </w:p>
    <w:p w:rsidR="00DC56C6" w:rsidRPr="00DC56C6" w:rsidRDefault="00DC56C6" w:rsidP="003C3659">
      <w:pPr>
        <w:numPr>
          <w:ilvl w:val="0"/>
          <w:numId w:val="1"/>
        </w:numPr>
        <w:tabs>
          <w:tab w:val="left" w:pos="567"/>
          <w:tab w:val="center" w:leader="dot" w:pos="9072"/>
        </w:tabs>
        <w:spacing w:after="0" w:line="240" w:lineRule="auto"/>
        <w:ind w:left="426"/>
        <w:contextualSpacing/>
        <w:jc w:val="both"/>
        <w:rPr>
          <w:rFonts w:ascii="Times New Roman" w:hAnsi="Times New Roman" w:cs="Times New Roman"/>
          <w:sz w:val="24"/>
          <w:szCs w:val="24"/>
        </w:rPr>
      </w:pPr>
      <w:r w:rsidRPr="00DC56C6">
        <w:rPr>
          <w:rFonts w:ascii="Times New Roman" w:hAnsi="Times New Roman" w:cs="Times New Roman"/>
          <w:b/>
          <w:sz w:val="24"/>
          <w:szCs w:val="24"/>
        </w:rPr>
        <w:t xml:space="preserve"> “Darbība”</w:t>
      </w:r>
      <w:r w:rsidRPr="007F30EF">
        <w:rPr>
          <w:rFonts w:ascii="Times New Roman" w:hAnsi="Times New Roman" w:cs="Times New Roman"/>
          <w:sz w:val="24"/>
          <w:szCs w:val="24"/>
          <w:vertAlign w:val="superscript"/>
        </w:rPr>
        <w:footnoteReference w:id="1"/>
      </w:r>
      <w:r w:rsidRPr="00DC56C6">
        <w:rPr>
          <w:rFonts w:ascii="Times New Roman" w:hAnsi="Times New Roman" w:cs="Times New Roman"/>
          <w:sz w:val="24"/>
          <w:szCs w:val="24"/>
        </w:rPr>
        <w:t xml:space="preserve"> – projekts, līgums, darbība vai projektu grupa, ko atlasa attiecīgo darbības programmu vadošās iestādes vai kas atrodas tās pārraudzībā un kas veicina prioritātes vai prioritāšu mērķu sasniegšanu; saistībā ar finanšu instrumentiem darbība ir finanšu piešķīrumi finanšu instrumentiem no programmas un turpmākais finanšu atbalsts, ko sniedz minētie finanšu instrumenti. </w:t>
      </w:r>
      <w:r w:rsidR="003C3659">
        <w:rPr>
          <w:rFonts w:ascii="Times New Roman" w:hAnsi="Times New Roman" w:cs="Times New Roman"/>
          <w:sz w:val="24"/>
          <w:szCs w:val="24"/>
        </w:rPr>
        <w:t>D</w:t>
      </w:r>
      <w:r w:rsidR="003C3659" w:rsidRPr="003C3659">
        <w:rPr>
          <w:rFonts w:ascii="Times New Roman" w:hAnsi="Times New Roman" w:cs="Times New Roman"/>
          <w:sz w:val="24"/>
          <w:szCs w:val="24"/>
        </w:rPr>
        <w:t>arbība var sastāvēt arī no vienas vai vairākām projekta aktivitātēm (it sevišķi ilgtermiņa projektos), kas tiek īstenotas, lai sasniegtu konkrētus rādītājus</w:t>
      </w:r>
      <w:r w:rsidR="003C3659">
        <w:rPr>
          <w:rFonts w:ascii="Times New Roman" w:hAnsi="Times New Roman" w:cs="Times New Roman"/>
          <w:sz w:val="24"/>
          <w:szCs w:val="24"/>
        </w:rPr>
        <w:t>.</w:t>
      </w:r>
    </w:p>
    <w:p w:rsidR="00DC56C6" w:rsidRPr="00DC56C6" w:rsidRDefault="00DC56C6" w:rsidP="00DC56C6">
      <w:pPr>
        <w:tabs>
          <w:tab w:val="left" w:pos="567"/>
          <w:tab w:val="center" w:leader="dot" w:pos="9072"/>
        </w:tabs>
        <w:spacing w:after="0" w:line="240" w:lineRule="auto"/>
        <w:ind w:left="426"/>
        <w:contextualSpacing/>
        <w:jc w:val="both"/>
        <w:rPr>
          <w:rFonts w:ascii="Times New Roman" w:hAnsi="Times New Roman" w:cs="Times New Roman"/>
          <w:sz w:val="24"/>
          <w:szCs w:val="24"/>
        </w:rPr>
      </w:pPr>
    </w:p>
    <w:p w:rsidR="00DC56C6" w:rsidRPr="00DC56C6" w:rsidRDefault="00DC56C6" w:rsidP="00DC56C6">
      <w:pPr>
        <w:numPr>
          <w:ilvl w:val="0"/>
          <w:numId w:val="1"/>
        </w:numPr>
        <w:tabs>
          <w:tab w:val="left" w:pos="567"/>
          <w:tab w:val="center" w:leader="dot" w:pos="9072"/>
        </w:tabs>
        <w:spacing w:after="0" w:line="240" w:lineRule="auto"/>
        <w:ind w:left="426"/>
        <w:contextualSpacing/>
        <w:jc w:val="both"/>
        <w:rPr>
          <w:rFonts w:ascii="Times New Roman" w:hAnsi="Times New Roman" w:cs="Times New Roman"/>
          <w:sz w:val="24"/>
          <w:szCs w:val="24"/>
        </w:rPr>
      </w:pPr>
      <w:r w:rsidRPr="00DC56C6">
        <w:rPr>
          <w:rFonts w:ascii="Times New Roman" w:hAnsi="Times New Roman" w:cs="Times New Roman"/>
          <w:b/>
          <w:sz w:val="24"/>
          <w:szCs w:val="24"/>
        </w:rPr>
        <w:t>“ekonomikas dalībnieks”</w:t>
      </w:r>
      <w:r w:rsidRPr="00DC56C6">
        <w:rPr>
          <w:rFonts w:ascii="Times New Roman" w:hAnsi="Times New Roman" w:cs="Times New Roman"/>
          <w:sz w:val="24"/>
          <w:szCs w:val="24"/>
          <w:vertAlign w:val="superscript"/>
        </w:rPr>
        <w:footnoteReference w:id="2"/>
      </w:r>
      <w:r w:rsidRPr="00DC56C6">
        <w:rPr>
          <w:rFonts w:ascii="Times New Roman" w:hAnsi="Times New Roman" w:cs="Times New Roman"/>
          <w:sz w:val="24"/>
          <w:szCs w:val="24"/>
        </w:rPr>
        <w:t xml:space="preserve"> ir jebkura fiziska vai juridiska persona, vai cita struktūra, kas piedalās ES fondu īstenošanā, izņemot dalībvalsti, kas īsteno valsts varu. Ar ekonomikas dalībnieku šo vadlīniju kontekstā saprot gan projekta iesnieguma iesniedzēju, gan FS, sadarbības partneri, galasaņēmēju</w:t>
      </w:r>
      <w:r w:rsidRPr="00DC56C6">
        <w:rPr>
          <w:rFonts w:ascii="Times New Roman" w:hAnsi="Times New Roman" w:cs="Times New Roman"/>
          <w:sz w:val="24"/>
          <w:szCs w:val="24"/>
          <w:vertAlign w:val="superscript"/>
        </w:rPr>
        <w:footnoteReference w:id="3"/>
      </w:r>
      <w:r w:rsidRPr="00DC56C6">
        <w:rPr>
          <w:rFonts w:ascii="Times New Roman" w:hAnsi="Times New Roman" w:cs="Times New Roman"/>
          <w:sz w:val="24"/>
          <w:szCs w:val="24"/>
        </w:rPr>
        <w:t xml:space="preserve">. </w:t>
      </w:r>
    </w:p>
    <w:p w:rsidR="00DC56C6" w:rsidRPr="00DC56C6" w:rsidRDefault="00DC56C6" w:rsidP="00DC56C6">
      <w:pPr>
        <w:tabs>
          <w:tab w:val="left" w:pos="567"/>
          <w:tab w:val="center" w:leader="dot" w:pos="9072"/>
        </w:tabs>
        <w:spacing w:after="0" w:line="240" w:lineRule="auto"/>
        <w:ind w:left="426"/>
        <w:contextualSpacing/>
        <w:jc w:val="both"/>
        <w:rPr>
          <w:rFonts w:ascii="Times New Roman" w:hAnsi="Times New Roman" w:cs="Times New Roman"/>
          <w:sz w:val="24"/>
          <w:szCs w:val="24"/>
          <w:highlight w:val="yellow"/>
        </w:rPr>
      </w:pPr>
    </w:p>
    <w:p w:rsidR="00DC56C6" w:rsidRPr="00DC56C6" w:rsidRDefault="00DC56C6" w:rsidP="00DC56C6">
      <w:pPr>
        <w:numPr>
          <w:ilvl w:val="0"/>
          <w:numId w:val="1"/>
        </w:numPr>
        <w:tabs>
          <w:tab w:val="left" w:pos="567"/>
          <w:tab w:val="center" w:leader="dot" w:pos="9072"/>
        </w:tabs>
        <w:spacing w:after="0" w:line="240" w:lineRule="auto"/>
        <w:ind w:left="426"/>
        <w:contextualSpacing/>
        <w:jc w:val="both"/>
        <w:rPr>
          <w:rFonts w:ascii="Times New Roman" w:hAnsi="Times New Roman" w:cs="Times New Roman"/>
          <w:sz w:val="24"/>
          <w:szCs w:val="24"/>
        </w:rPr>
      </w:pPr>
      <w:r w:rsidRPr="00DC56C6">
        <w:rPr>
          <w:rFonts w:ascii="Times New Roman" w:hAnsi="Times New Roman" w:cs="Times New Roman"/>
          <w:b/>
          <w:sz w:val="24"/>
          <w:szCs w:val="24"/>
        </w:rPr>
        <w:t>”neatbilstība”</w:t>
      </w:r>
      <w:r w:rsidRPr="008348CD">
        <w:rPr>
          <w:rFonts w:ascii="Times New Roman" w:hAnsi="Times New Roman" w:cs="Times New Roman"/>
          <w:sz w:val="24"/>
          <w:vertAlign w:val="superscript"/>
        </w:rPr>
        <w:footnoteReference w:id="4"/>
      </w:r>
      <w:r w:rsidRPr="00DC56C6">
        <w:rPr>
          <w:rFonts w:ascii="Times New Roman" w:hAnsi="Times New Roman" w:cs="Times New Roman"/>
          <w:sz w:val="24"/>
          <w:szCs w:val="24"/>
        </w:rPr>
        <w:t>:</w:t>
      </w:r>
    </w:p>
    <w:p w:rsidR="00DC56C6" w:rsidRPr="00DC56C6" w:rsidRDefault="00DC56C6" w:rsidP="00D35834">
      <w:pPr>
        <w:numPr>
          <w:ilvl w:val="1"/>
          <w:numId w:val="1"/>
        </w:numPr>
        <w:tabs>
          <w:tab w:val="clear" w:pos="794"/>
        </w:tabs>
        <w:spacing w:after="0" w:line="240" w:lineRule="auto"/>
        <w:ind w:left="851" w:hanging="567"/>
        <w:contextualSpacing/>
        <w:jc w:val="both"/>
        <w:rPr>
          <w:rFonts w:ascii="Times New Roman" w:hAnsi="Times New Roman" w:cs="Times New Roman"/>
          <w:sz w:val="24"/>
          <w:szCs w:val="24"/>
        </w:rPr>
      </w:pPr>
      <w:r w:rsidRPr="00DC56C6">
        <w:rPr>
          <w:rFonts w:ascii="Times New Roman" w:hAnsi="Times New Roman" w:cs="Times New Roman"/>
          <w:sz w:val="24"/>
          <w:szCs w:val="24"/>
        </w:rPr>
        <w:t xml:space="preserve">jebkurš </w:t>
      </w:r>
      <w:r w:rsidR="0031083C">
        <w:rPr>
          <w:rFonts w:ascii="Times New Roman" w:hAnsi="Times New Roman" w:cs="Times New Roman"/>
          <w:sz w:val="24"/>
          <w:szCs w:val="24"/>
        </w:rPr>
        <w:t>LV</w:t>
      </w:r>
      <w:r w:rsidRPr="00DC56C6">
        <w:rPr>
          <w:rFonts w:ascii="Times New Roman" w:hAnsi="Times New Roman" w:cs="Times New Roman"/>
          <w:sz w:val="24"/>
          <w:szCs w:val="24"/>
        </w:rPr>
        <w:t xml:space="preserve"> vai ES tiesību akta pārkāpums, kas atbilst Regulas Nr.1303/2013 2.panta 36.punktam</w:t>
      </w:r>
      <w:r w:rsidRPr="00DC56C6">
        <w:rPr>
          <w:rFonts w:ascii="Times New Roman" w:hAnsi="Times New Roman" w:cs="Times New Roman"/>
          <w:sz w:val="24"/>
          <w:szCs w:val="24"/>
          <w:vertAlign w:val="superscript"/>
        </w:rPr>
        <w:footnoteReference w:id="5"/>
      </w:r>
      <w:r w:rsidRPr="00DC56C6">
        <w:rPr>
          <w:rFonts w:ascii="Times New Roman" w:hAnsi="Times New Roman" w:cs="Times New Roman"/>
          <w:sz w:val="24"/>
          <w:szCs w:val="24"/>
        </w:rPr>
        <w:t xml:space="preserve">; </w:t>
      </w:r>
    </w:p>
    <w:p w:rsidR="00DC56C6" w:rsidRPr="00DC56C6" w:rsidRDefault="00DC56C6" w:rsidP="00D35834">
      <w:pPr>
        <w:numPr>
          <w:ilvl w:val="1"/>
          <w:numId w:val="1"/>
        </w:numPr>
        <w:tabs>
          <w:tab w:val="clear" w:pos="794"/>
        </w:tabs>
        <w:spacing w:after="0" w:line="240" w:lineRule="auto"/>
        <w:ind w:left="851" w:hanging="567"/>
        <w:contextualSpacing/>
        <w:jc w:val="both"/>
        <w:rPr>
          <w:rFonts w:ascii="Times New Roman" w:hAnsi="Times New Roman" w:cs="Times New Roman"/>
          <w:sz w:val="24"/>
          <w:szCs w:val="24"/>
        </w:rPr>
      </w:pPr>
      <w:r w:rsidRPr="00DC56C6">
        <w:rPr>
          <w:rFonts w:ascii="Times New Roman" w:hAnsi="Times New Roman" w:cs="Times New Roman"/>
          <w:sz w:val="24"/>
          <w:szCs w:val="24"/>
        </w:rPr>
        <w:t>ja ES fonda FS ir izdarījis Latvijas Administratīvo pārkāpumu kodeksa 189.</w:t>
      </w:r>
      <w:r w:rsidRPr="00DC56C6">
        <w:rPr>
          <w:rFonts w:ascii="Times New Roman" w:hAnsi="Times New Roman" w:cs="Times New Roman"/>
          <w:sz w:val="24"/>
          <w:szCs w:val="24"/>
          <w:vertAlign w:val="superscript"/>
        </w:rPr>
        <w:t>2</w:t>
      </w:r>
      <w:r w:rsidRPr="00DC56C6">
        <w:rPr>
          <w:rFonts w:ascii="Times New Roman" w:hAnsi="Times New Roman" w:cs="Times New Roman"/>
          <w:sz w:val="24"/>
          <w:szCs w:val="24"/>
        </w:rPr>
        <w:t xml:space="preserve"> panta trešajā daļā</w:t>
      </w:r>
      <w:r w:rsidRPr="00DC56C6">
        <w:rPr>
          <w:rFonts w:ascii="Times New Roman" w:hAnsi="Times New Roman" w:cs="Times New Roman"/>
          <w:sz w:val="24"/>
          <w:szCs w:val="24"/>
          <w:vertAlign w:val="superscript"/>
        </w:rPr>
        <w:footnoteReference w:id="6"/>
      </w:r>
      <w:r w:rsidRPr="00DC56C6">
        <w:rPr>
          <w:rFonts w:ascii="Times New Roman" w:hAnsi="Times New Roman" w:cs="Times New Roman"/>
          <w:sz w:val="24"/>
          <w:szCs w:val="24"/>
        </w:rPr>
        <w:t xml:space="preserve"> minēto administratīvo pārkāpumu un attiecīgais kompetentas institūcijas lēmums ir stājies spēkā un kļuvis neapstrīdams vai attiecīgais tiesas </w:t>
      </w:r>
      <w:r w:rsidR="00812F6D">
        <w:rPr>
          <w:rFonts w:ascii="Times New Roman" w:hAnsi="Times New Roman" w:cs="Times New Roman"/>
          <w:sz w:val="24"/>
          <w:szCs w:val="24"/>
        </w:rPr>
        <w:t>spriedum</w:t>
      </w:r>
      <w:r w:rsidR="00785536">
        <w:rPr>
          <w:rFonts w:ascii="Times New Roman" w:hAnsi="Times New Roman" w:cs="Times New Roman"/>
          <w:sz w:val="24"/>
          <w:szCs w:val="24"/>
        </w:rPr>
        <w:t>s</w:t>
      </w:r>
      <w:r w:rsidRPr="00DC56C6">
        <w:rPr>
          <w:rFonts w:ascii="Times New Roman" w:hAnsi="Times New Roman" w:cs="Times New Roman"/>
          <w:sz w:val="24"/>
          <w:szCs w:val="24"/>
        </w:rPr>
        <w:t xml:space="preserve"> ir stājies spēkā (attiecināms, ja FS nav tiešās pārvaldes iestāde);</w:t>
      </w:r>
    </w:p>
    <w:p w:rsidR="00DC56C6" w:rsidRPr="00DC56C6" w:rsidRDefault="00DC56C6" w:rsidP="00D35834">
      <w:pPr>
        <w:numPr>
          <w:ilvl w:val="1"/>
          <w:numId w:val="1"/>
        </w:numPr>
        <w:tabs>
          <w:tab w:val="clear" w:pos="794"/>
        </w:tabs>
        <w:spacing w:after="0" w:line="240" w:lineRule="auto"/>
        <w:ind w:left="851" w:hanging="567"/>
        <w:contextualSpacing/>
        <w:jc w:val="both"/>
        <w:rPr>
          <w:rFonts w:ascii="Times New Roman" w:hAnsi="Times New Roman" w:cs="Times New Roman"/>
          <w:sz w:val="24"/>
          <w:szCs w:val="24"/>
        </w:rPr>
      </w:pPr>
      <w:r w:rsidRPr="00DC56C6">
        <w:rPr>
          <w:rFonts w:ascii="Times New Roman" w:hAnsi="Times New Roman" w:cs="Times New Roman"/>
          <w:sz w:val="24"/>
          <w:szCs w:val="24"/>
        </w:rPr>
        <w:t>ja FS ir atzīts par vainīgu Krimināllikuma 280.panta otrajā daļā</w:t>
      </w:r>
      <w:r w:rsidRPr="00DC56C6">
        <w:rPr>
          <w:rFonts w:ascii="Times New Roman" w:hAnsi="Times New Roman" w:cs="Times New Roman"/>
          <w:sz w:val="24"/>
          <w:szCs w:val="24"/>
          <w:vertAlign w:val="superscript"/>
        </w:rPr>
        <w:footnoteReference w:id="7"/>
      </w:r>
      <w:r w:rsidRPr="00DC56C6">
        <w:rPr>
          <w:rFonts w:ascii="Times New Roman" w:hAnsi="Times New Roman" w:cs="Times New Roman"/>
          <w:sz w:val="24"/>
          <w:szCs w:val="24"/>
        </w:rPr>
        <w:t xml:space="preserve"> minētā noziedzīgā nodarījuma izdarīšanā un attiecīgais tiesas </w:t>
      </w:r>
      <w:r w:rsidR="00785536">
        <w:rPr>
          <w:rFonts w:ascii="Times New Roman" w:hAnsi="Times New Roman" w:cs="Times New Roman"/>
          <w:sz w:val="24"/>
          <w:szCs w:val="24"/>
        </w:rPr>
        <w:t>nolēmums</w:t>
      </w:r>
      <w:r w:rsidRPr="00DC56C6">
        <w:rPr>
          <w:rFonts w:ascii="Times New Roman" w:hAnsi="Times New Roman" w:cs="Times New Roman"/>
          <w:sz w:val="24"/>
          <w:szCs w:val="24"/>
        </w:rPr>
        <w:t xml:space="preserve"> vai prokurora priekšraksts par sodu ir stājies spēkā (attiecināms, ja FS ir fiziska persona);</w:t>
      </w:r>
    </w:p>
    <w:p w:rsidR="00DC56C6" w:rsidRPr="00DC56C6" w:rsidRDefault="00DC56C6" w:rsidP="00D35834">
      <w:pPr>
        <w:numPr>
          <w:ilvl w:val="1"/>
          <w:numId w:val="1"/>
        </w:numPr>
        <w:tabs>
          <w:tab w:val="clear" w:pos="794"/>
        </w:tabs>
        <w:spacing w:after="0" w:line="240" w:lineRule="auto"/>
        <w:ind w:left="851" w:hanging="567"/>
        <w:contextualSpacing/>
        <w:jc w:val="both"/>
        <w:rPr>
          <w:rFonts w:ascii="Times New Roman" w:hAnsi="Times New Roman" w:cs="Times New Roman"/>
          <w:sz w:val="24"/>
          <w:szCs w:val="24"/>
        </w:rPr>
      </w:pPr>
      <w:r w:rsidRPr="00DC56C6">
        <w:rPr>
          <w:rFonts w:ascii="Times New Roman" w:hAnsi="Times New Roman" w:cs="Times New Roman"/>
          <w:sz w:val="24"/>
          <w:szCs w:val="24"/>
        </w:rPr>
        <w:lastRenderedPageBreak/>
        <w:t xml:space="preserve">ja FS par Krimināllikuma 280.panta otrajā daļā minētā noziedzīgā nodarījuma izdarīšanu ir piemērots piespiedu ietekmēšanas līdzeklis un attiecīgais tiesas </w:t>
      </w:r>
      <w:r w:rsidR="00812F6D">
        <w:rPr>
          <w:rFonts w:ascii="Times New Roman" w:hAnsi="Times New Roman" w:cs="Times New Roman"/>
          <w:sz w:val="24"/>
          <w:szCs w:val="24"/>
        </w:rPr>
        <w:t>nolēmum</w:t>
      </w:r>
      <w:r w:rsidRPr="00DC56C6">
        <w:rPr>
          <w:rFonts w:ascii="Times New Roman" w:hAnsi="Times New Roman" w:cs="Times New Roman"/>
          <w:sz w:val="24"/>
          <w:szCs w:val="24"/>
        </w:rPr>
        <w:t xml:space="preserve">s ir stājies spēkā (attiecināms, ja FS ir privāto tiesību juridiska persona). </w:t>
      </w:r>
    </w:p>
    <w:p w:rsidR="00DC56C6" w:rsidRPr="00DC56C6" w:rsidRDefault="00DC56C6" w:rsidP="00DC56C6">
      <w:pPr>
        <w:spacing w:after="0" w:line="240" w:lineRule="auto"/>
        <w:ind w:left="426"/>
        <w:contextualSpacing/>
        <w:jc w:val="both"/>
        <w:rPr>
          <w:rFonts w:ascii="Times New Roman" w:hAnsi="Times New Roman" w:cs="Times New Roman"/>
          <w:sz w:val="24"/>
          <w:szCs w:val="24"/>
        </w:rPr>
      </w:pPr>
    </w:p>
    <w:p w:rsidR="00DC56C6" w:rsidRPr="00DC56C6" w:rsidRDefault="00DC56C6" w:rsidP="00DC56C6">
      <w:pPr>
        <w:numPr>
          <w:ilvl w:val="0"/>
          <w:numId w:val="1"/>
        </w:numPr>
        <w:tabs>
          <w:tab w:val="left" w:pos="567"/>
          <w:tab w:val="center" w:leader="dot" w:pos="9072"/>
        </w:tabs>
        <w:spacing w:after="0" w:line="240" w:lineRule="auto"/>
        <w:ind w:left="426"/>
        <w:contextualSpacing/>
        <w:jc w:val="both"/>
        <w:rPr>
          <w:rFonts w:ascii="Times New Roman" w:hAnsi="Times New Roman" w:cs="Times New Roman"/>
          <w:sz w:val="24"/>
          <w:szCs w:val="24"/>
        </w:rPr>
      </w:pPr>
      <w:r w:rsidRPr="00DC56C6">
        <w:rPr>
          <w:rFonts w:ascii="Times New Roman" w:hAnsi="Times New Roman" w:cs="Times New Roman"/>
          <w:b/>
          <w:sz w:val="24"/>
          <w:szCs w:val="24"/>
        </w:rPr>
        <w:t>“pirmais administratīvais vai tiesas konstatējums”</w:t>
      </w:r>
      <w:r w:rsidRPr="00DC56C6">
        <w:rPr>
          <w:rFonts w:ascii="Times New Roman" w:hAnsi="Times New Roman" w:cs="Times New Roman"/>
          <w:sz w:val="24"/>
          <w:szCs w:val="24"/>
          <w:vertAlign w:val="superscript"/>
        </w:rPr>
        <w:footnoteReference w:id="8"/>
      </w:r>
      <w:r w:rsidRPr="00DC56C6">
        <w:rPr>
          <w:rFonts w:ascii="Times New Roman" w:hAnsi="Times New Roman" w:cs="Times New Roman"/>
          <w:sz w:val="24"/>
          <w:szCs w:val="24"/>
        </w:rPr>
        <w:t xml:space="preserve"> ir kompetentas (administratīvas vai tiesas) iestādes pirmais rakstiskais novērtējums, kurā, pamatojoties uz īpašiem faktiem, izdara secinājumus par neatbilstības faktu, neskarot iespēju šo secinājumu vēlāk pārskatīt vai atsaukt, ņemot vērā administratīvās vai tiesas procedūras attīstību. SI arī var būt „pirmās administratīvās konstatācijas” veicējs. Šajā gadījumā nav burtiski jāuztver, ka tiek uzsākts administratīvais process vai kriminālprocess, jo lietas izskatīšanu regulē nacionālie tiesību akti. SI visbiežāk ir pirmā, kas konstatē neatbilstību, ko arī rakstiski fiksē. Tālākais risinājums ir atkarīgs no katra gadījuma.</w:t>
      </w:r>
    </w:p>
    <w:p w:rsidR="00DC56C6" w:rsidRPr="00DC56C6" w:rsidRDefault="00DC56C6" w:rsidP="00DC56C6">
      <w:pPr>
        <w:tabs>
          <w:tab w:val="left" w:pos="567"/>
          <w:tab w:val="center" w:leader="dot" w:pos="9072"/>
        </w:tabs>
        <w:spacing w:after="0" w:line="240" w:lineRule="auto"/>
        <w:ind w:left="426"/>
        <w:jc w:val="both"/>
        <w:rPr>
          <w:rFonts w:ascii="Times New Roman" w:hAnsi="Times New Roman"/>
          <w:sz w:val="24"/>
          <w:szCs w:val="24"/>
        </w:rPr>
      </w:pPr>
    </w:p>
    <w:p w:rsidR="00DC56C6" w:rsidRPr="00DC56C6" w:rsidRDefault="00DC56C6" w:rsidP="00DC56C6">
      <w:pPr>
        <w:numPr>
          <w:ilvl w:val="0"/>
          <w:numId w:val="1"/>
        </w:numPr>
        <w:tabs>
          <w:tab w:val="left" w:pos="567"/>
          <w:tab w:val="center" w:leader="dot" w:pos="9072"/>
        </w:tabs>
        <w:spacing w:after="0" w:line="240" w:lineRule="auto"/>
        <w:ind w:left="426"/>
        <w:contextualSpacing/>
        <w:jc w:val="both"/>
        <w:rPr>
          <w:rFonts w:ascii="Times New Roman" w:hAnsi="Times New Roman" w:cs="Times New Roman"/>
          <w:b/>
          <w:sz w:val="24"/>
          <w:szCs w:val="24"/>
        </w:rPr>
      </w:pPr>
      <w:r w:rsidRPr="00DC56C6">
        <w:rPr>
          <w:rFonts w:ascii="Times New Roman" w:hAnsi="Times New Roman" w:cs="Times New Roman"/>
          <w:b/>
          <w:sz w:val="24"/>
          <w:szCs w:val="24"/>
        </w:rPr>
        <w:t xml:space="preserve"> “aizdomas par krāpšanu”</w:t>
      </w:r>
      <w:r w:rsidRPr="007F30EF">
        <w:rPr>
          <w:rFonts w:ascii="Times New Roman" w:hAnsi="Times New Roman" w:cs="Times New Roman"/>
          <w:sz w:val="24"/>
          <w:szCs w:val="24"/>
          <w:vertAlign w:val="superscript"/>
        </w:rPr>
        <w:footnoteReference w:id="9"/>
      </w:r>
      <w:r w:rsidRPr="00DC56C6">
        <w:rPr>
          <w:rFonts w:ascii="Times New Roman" w:hAnsi="Times New Roman" w:cs="Times New Roman"/>
          <w:b/>
          <w:sz w:val="24"/>
          <w:szCs w:val="24"/>
        </w:rPr>
        <w:t xml:space="preserve"> </w:t>
      </w:r>
      <w:r w:rsidRPr="00DC56C6">
        <w:rPr>
          <w:rFonts w:ascii="Times New Roman" w:hAnsi="Times New Roman" w:cs="Times New Roman"/>
          <w:sz w:val="24"/>
          <w:szCs w:val="24"/>
        </w:rPr>
        <w:t>ir neatbilstība, kuras dēļ ierosina administratīvu un/vai tiesas procedūru valsts līmenī, lai konstatētu tīšu darbību vai bezdarbību, jo īpaši, krāpšanu, kā minēts Konvencijas par Eiropas Kopienas finanšu interešu aizsardzību  1.panta 1.punkta a) apakšpunktā:</w:t>
      </w:r>
      <w:r w:rsidRPr="00DC56C6">
        <w:rPr>
          <w:rFonts w:ascii="Times New Roman" w:hAnsi="Times New Roman" w:cs="Times New Roman"/>
          <w:b/>
          <w:sz w:val="24"/>
          <w:szCs w:val="24"/>
        </w:rPr>
        <w:t xml:space="preserve"> </w:t>
      </w:r>
    </w:p>
    <w:p w:rsidR="00DC56C6" w:rsidRPr="00DC56C6" w:rsidRDefault="00DC56C6" w:rsidP="00DC56C6">
      <w:pPr>
        <w:spacing w:after="120" w:line="240" w:lineRule="auto"/>
        <w:ind w:left="426"/>
        <w:jc w:val="both"/>
        <w:rPr>
          <w:rFonts w:ascii="Times New Roman" w:eastAsia="Times New Roman" w:hAnsi="Times New Roman" w:cs="Times New Roman"/>
          <w:i/>
          <w:sz w:val="24"/>
          <w:szCs w:val="24"/>
          <w:lang w:eastAsia="lv-LV"/>
        </w:rPr>
      </w:pPr>
      <w:r w:rsidRPr="00DC56C6">
        <w:rPr>
          <w:rFonts w:ascii="Times New Roman" w:eastAsia="Times New Roman" w:hAnsi="Times New Roman" w:cs="Times New Roman"/>
          <w:i/>
          <w:sz w:val="24"/>
          <w:szCs w:val="24"/>
          <w:lang w:eastAsia="lv-LV"/>
        </w:rPr>
        <w:t>a) Attiecībā uz izdevumiem, jebkura apzināta darbība vai bezdarbība attiecībā uz:</w:t>
      </w:r>
    </w:p>
    <w:p w:rsidR="00DC56C6" w:rsidRPr="00DC56C6" w:rsidRDefault="00DC56C6" w:rsidP="00EA5081">
      <w:pPr>
        <w:spacing w:after="0" w:line="240" w:lineRule="auto"/>
        <w:ind w:left="426"/>
        <w:jc w:val="both"/>
        <w:rPr>
          <w:rFonts w:ascii="Times New Roman" w:eastAsia="Times New Roman" w:hAnsi="Times New Roman"/>
          <w:i/>
          <w:sz w:val="24"/>
          <w:szCs w:val="24"/>
          <w:lang w:eastAsia="lv-LV"/>
        </w:rPr>
      </w:pPr>
      <w:r w:rsidRPr="00DC56C6">
        <w:rPr>
          <w:rFonts w:ascii="Times New Roman" w:eastAsia="Times New Roman" w:hAnsi="Times New Roman"/>
          <w:i/>
          <w:sz w:val="24"/>
          <w:szCs w:val="24"/>
          <w:lang w:eastAsia="lv-LV"/>
        </w:rPr>
        <w:t>- viltotu, nepareizu vai nepilnīgu apgalvojumu vai dokumentu lietošanu vai uzrādīšanu, kā rezultātā ir notikusi nelikumīga piesavināšanās vai pretlikumīga līdzekļu paturēšana no Eiropas Kopienu Kopbudžeta fondiem vai budžetiem, kurus administrē Eiropas Kopienas, vai kurus administrē Eiropas Kopienu vārdā,</w:t>
      </w:r>
    </w:p>
    <w:p w:rsidR="00DC56C6" w:rsidRPr="00DC56C6" w:rsidRDefault="00DC56C6" w:rsidP="00EA5081">
      <w:pPr>
        <w:spacing w:after="0" w:line="240" w:lineRule="auto"/>
        <w:ind w:left="426"/>
        <w:jc w:val="both"/>
        <w:rPr>
          <w:rFonts w:ascii="Times New Roman" w:eastAsia="Times New Roman" w:hAnsi="Times New Roman"/>
          <w:i/>
          <w:sz w:val="24"/>
          <w:szCs w:val="24"/>
          <w:lang w:eastAsia="lv-LV"/>
        </w:rPr>
      </w:pPr>
      <w:r w:rsidRPr="00DC56C6">
        <w:rPr>
          <w:rFonts w:ascii="Times New Roman" w:eastAsia="Times New Roman" w:hAnsi="Times New Roman"/>
          <w:i/>
          <w:sz w:val="24"/>
          <w:szCs w:val="24"/>
          <w:lang w:eastAsia="lv-LV"/>
        </w:rPr>
        <w:t>- informācijas neizpaušanu, tādējādi pārkāpjot īpašu pienākumu, kam ir tādas pašas sekas</w:t>
      </w:r>
    </w:p>
    <w:p w:rsidR="00DC56C6" w:rsidRDefault="00DC56C6" w:rsidP="00EA5081">
      <w:pPr>
        <w:autoSpaceDE w:val="0"/>
        <w:autoSpaceDN w:val="0"/>
        <w:adjustRightInd w:val="0"/>
        <w:spacing w:after="0" w:line="240" w:lineRule="auto"/>
        <w:ind w:left="426"/>
        <w:jc w:val="both"/>
        <w:rPr>
          <w:rFonts w:ascii="Times New Roman" w:eastAsia="Times New Roman" w:hAnsi="Times New Roman"/>
          <w:i/>
          <w:sz w:val="24"/>
          <w:szCs w:val="24"/>
          <w:lang w:eastAsia="lv-LV"/>
        </w:rPr>
      </w:pPr>
      <w:r w:rsidRPr="00DC56C6">
        <w:rPr>
          <w:rFonts w:ascii="Times New Roman" w:eastAsia="Times New Roman" w:hAnsi="Times New Roman"/>
          <w:i/>
          <w:sz w:val="24"/>
          <w:szCs w:val="24"/>
          <w:lang w:eastAsia="lv-LV"/>
        </w:rPr>
        <w:t>- līdzekļu ļaunprātīgu izmantošanu, kas neatbilst mērķiem, kam šie līdzekļi tika sākotnēji piešķirti;</w:t>
      </w:r>
    </w:p>
    <w:p w:rsidR="002327CF" w:rsidRPr="00DC56C6" w:rsidRDefault="002327CF" w:rsidP="00EA5081">
      <w:pPr>
        <w:autoSpaceDE w:val="0"/>
        <w:autoSpaceDN w:val="0"/>
        <w:adjustRightInd w:val="0"/>
        <w:spacing w:after="0" w:line="240" w:lineRule="auto"/>
        <w:ind w:left="426"/>
        <w:jc w:val="both"/>
        <w:rPr>
          <w:rFonts w:ascii="Times New Roman" w:eastAsia="Times New Roman" w:hAnsi="Times New Roman"/>
          <w:i/>
          <w:sz w:val="24"/>
          <w:szCs w:val="24"/>
          <w:lang w:eastAsia="lv-LV"/>
        </w:rPr>
      </w:pPr>
    </w:p>
    <w:p w:rsidR="00DC56C6" w:rsidRPr="008A00AF" w:rsidRDefault="00DC56C6" w:rsidP="00EA5081">
      <w:pPr>
        <w:numPr>
          <w:ilvl w:val="0"/>
          <w:numId w:val="1"/>
        </w:numPr>
        <w:tabs>
          <w:tab w:val="left" w:pos="567"/>
          <w:tab w:val="center" w:leader="dot" w:pos="9072"/>
        </w:tabs>
        <w:spacing w:line="240" w:lineRule="auto"/>
        <w:ind w:left="426"/>
        <w:contextualSpacing/>
        <w:jc w:val="both"/>
        <w:rPr>
          <w:rFonts w:ascii="Times New Roman" w:hAnsi="Times New Roman" w:cs="Times New Roman"/>
          <w:b/>
          <w:sz w:val="24"/>
          <w:szCs w:val="24"/>
        </w:rPr>
      </w:pPr>
      <w:r w:rsidRPr="00DC56C6">
        <w:rPr>
          <w:rFonts w:ascii="Times New Roman" w:hAnsi="Times New Roman" w:cs="Times New Roman"/>
          <w:b/>
          <w:sz w:val="24"/>
          <w:szCs w:val="24"/>
        </w:rPr>
        <w:t xml:space="preserve">„neatbilstoši veikto izdevumu atgūšana” – </w:t>
      </w:r>
      <w:r w:rsidR="000A7140">
        <w:rPr>
          <w:rFonts w:ascii="Times New Roman" w:hAnsi="Times New Roman" w:cs="Times New Roman"/>
          <w:sz w:val="24"/>
          <w:szCs w:val="24"/>
        </w:rPr>
        <w:t>darbību kopums (atmaksa, i</w:t>
      </w:r>
      <w:r w:rsidRPr="00DC56C6">
        <w:rPr>
          <w:rFonts w:ascii="Times New Roman" w:hAnsi="Times New Roman" w:cs="Times New Roman"/>
          <w:sz w:val="24"/>
          <w:szCs w:val="24"/>
        </w:rPr>
        <w:t>eturēšana no kārtējā vai nākamā maksājuma</w:t>
      </w:r>
      <w:r w:rsidR="000A7140">
        <w:rPr>
          <w:rFonts w:ascii="Times New Roman" w:hAnsi="Times New Roman" w:cs="Times New Roman"/>
          <w:sz w:val="24"/>
          <w:szCs w:val="24"/>
        </w:rPr>
        <w:t>, norakstīšana, z</w:t>
      </w:r>
      <w:r w:rsidRPr="00DC56C6">
        <w:rPr>
          <w:rFonts w:ascii="Times New Roman" w:hAnsi="Times New Roman" w:cs="Times New Roman"/>
          <w:sz w:val="24"/>
          <w:szCs w:val="24"/>
        </w:rPr>
        <w:t xml:space="preserve">iņošana </w:t>
      </w:r>
      <w:r w:rsidR="000A7140">
        <w:rPr>
          <w:rFonts w:ascii="Times New Roman" w:hAnsi="Times New Roman" w:cs="Times New Roman"/>
          <w:sz w:val="24"/>
          <w:szCs w:val="24"/>
        </w:rPr>
        <w:t>MK, maksātnespējas procedūra, l</w:t>
      </w:r>
      <w:r w:rsidRPr="00DC56C6">
        <w:rPr>
          <w:rFonts w:ascii="Times New Roman" w:hAnsi="Times New Roman" w:cs="Times New Roman"/>
          <w:sz w:val="24"/>
          <w:szCs w:val="24"/>
        </w:rPr>
        <w:t>abprātīga at</w:t>
      </w:r>
      <w:r w:rsidR="000A7140">
        <w:rPr>
          <w:rFonts w:ascii="Times New Roman" w:hAnsi="Times New Roman" w:cs="Times New Roman"/>
          <w:sz w:val="24"/>
          <w:szCs w:val="24"/>
        </w:rPr>
        <w:t>maksa), lai atjaunotu situāciju,</w:t>
      </w:r>
      <w:r w:rsidRPr="00DC56C6">
        <w:rPr>
          <w:rFonts w:ascii="Times New Roman" w:hAnsi="Times New Roman" w:cs="Times New Roman"/>
          <w:sz w:val="24"/>
          <w:szCs w:val="24"/>
        </w:rPr>
        <w:t xml:space="preserve"> kurā no ES fondiem un Latvijas valsts budžeta</w:t>
      </w:r>
      <w:r w:rsidR="000A7140">
        <w:rPr>
          <w:rFonts w:ascii="Times New Roman" w:hAnsi="Times New Roman" w:cs="Times New Roman"/>
          <w:sz w:val="24"/>
          <w:szCs w:val="24"/>
        </w:rPr>
        <w:t xml:space="preserve"> veiktie izdevumi</w:t>
      </w:r>
      <w:r w:rsidRPr="00DC56C6">
        <w:rPr>
          <w:rFonts w:ascii="Times New Roman" w:hAnsi="Times New Roman" w:cs="Times New Roman"/>
          <w:sz w:val="24"/>
          <w:szCs w:val="24"/>
        </w:rPr>
        <w:t xml:space="preserve"> atbilst piemērojamiem </w:t>
      </w:r>
      <w:r w:rsidR="0031083C">
        <w:rPr>
          <w:rFonts w:ascii="Times New Roman" w:hAnsi="Times New Roman" w:cs="Times New Roman"/>
          <w:sz w:val="24"/>
          <w:szCs w:val="24"/>
        </w:rPr>
        <w:t>LV</w:t>
      </w:r>
      <w:r w:rsidRPr="00DC56C6">
        <w:rPr>
          <w:rFonts w:ascii="Times New Roman" w:hAnsi="Times New Roman" w:cs="Times New Roman"/>
          <w:sz w:val="24"/>
          <w:szCs w:val="24"/>
        </w:rPr>
        <w:t xml:space="preserve"> un ES tiesību aktiem.</w:t>
      </w:r>
    </w:p>
    <w:p w:rsidR="008A00AF" w:rsidRPr="00EA5081" w:rsidRDefault="008A00AF" w:rsidP="008A00AF">
      <w:pPr>
        <w:tabs>
          <w:tab w:val="left" w:pos="567"/>
          <w:tab w:val="center" w:leader="dot" w:pos="9072"/>
        </w:tabs>
        <w:spacing w:line="240" w:lineRule="auto"/>
        <w:ind w:left="426"/>
        <w:contextualSpacing/>
        <w:jc w:val="both"/>
        <w:rPr>
          <w:rFonts w:ascii="Times New Roman" w:hAnsi="Times New Roman" w:cs="Times New Roman"/>
          <w:b/>
          <w:sz w:val="24"/>
          <w:szCs w:val="24"/>
        </w:rPr>
      </w:pPr>
    </w:p>
    <w:p w:rsidR="00DC56C6" w:rsidRDefault="00EA5081" w:rsidP="002C2685">
      <w:pPr>
        <w:numPr>
          <w:ilvl w:val="0"/>
          <w:numId w:val="1"/>
        </w:numPr>
        <w:tabs>
          <w:tab w:val="left" w:pos="567"/>
          <w:tab w:val="center" w:leader="dot" w:pos="9072"/>
        </w:tabs>
        <w:spacing w:before="240" w:after="0" w:line="240" w:lineRule="auto"/>
        <w:ind w:left="426"/>
        <w:contextualSpacing/>
        <w:jc w:val="both"/>
      </w:pPr>
      <w:r w:rsidRPr="00411C07">
        <w:rPr>
          <w:rFonts w:ascii="Times New Roman" w:hAnsi="Times New Roman" w:cs="Times New Roman"/>
          <w:b/>
          <w:sz w:val="24"/>
          <w:szCs w:val="24"/>
        </w:rPr>
        <w:t>„sistēmiska neatbilstība”</w:t>
      </w:r>
      <w:r w:rsidRPr="007F30EF">
        <w:rPr>
          <w:rStyle w:val="FootnoteReference"/>
          <w:rFonts w:ascii="Times New Roman" w:hAnsi="Times New Roman" w:cs="Times New Roman"/>
          <w:sz w:val="24"/>
          <w:szCs w:val="24"/>
        </w:rPr>
        <w:footnoteReference w:id="10"/>
      </w:r>
      <w:r w:rsidRPr="00411C07">
        <w:rPr>
          <w:rFonts w:ascii="Times New Roman" w:hAnsi="Times New Roman" w:cs="Times New Roman"/>
          <w:b/>
          <w:sz w:val="24"/>
          <w:szCs w:val="24"/>
        </w:rPr>
        <w:t xml:space="preserve"> – </w:t>
      </w:r>
      <w:r w:rsidRPr="00411C07">
        <w:rPr>
          <w:rFonts w:ascii="Times New Roman" w:hAnsi="Times New Roman" w:cs="Times New Roman"/>
          <w:sz w:val="24"/>
          <w:szCs w:val="24"/>
        </w:rPr>
        <w:t>jebkurš pārkāpums, kas var atkārtoties, saistībā ar ko pastāv liela iespēja, ka tas notiks līdzīga veida darbībās, un kurš izriet no nopietniem trūkumiem vadības un kontroles sistēmas efektīvā darbībā, tostarp no tā, ka nav izdevies izveidot piemērotas procedūras atbilstoši Regulai Nr.1303/2013 un konkrētu fondu noteikumiem.</w:t>
      </w:r>
    </w:p>
    <w:sectPr w:rsidR="00DC56C6" w:rsidSect="00611BB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6C6" w:rsidRDefault="00DC56C6" w:rsidP="00DC56C6">
      <w:pPr>
        <w:spacing w:after="0" w:line="240" w:lineRule="auto"/>
      </w:pPr>
      <w:r>
        <w:separator/>
      </w:r>
    </w:p>
  </w:endnote>
  <w:endnote w:type="continuationSeparator" w:id="0">
    <w:p w:rsidR="00DC56C6" w:rsidRDefault="00DC56C6" w:rsidP="00DC5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B3" w:rsidRDefault="00611B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B3" w:rsidRDefault="00611B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B3" w:rsidRDefault="00611B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6C6" w:rsidRDefault="00DC56C6" w:rsidP="00DC56C6">
      <w:pPr>
        <w:spacing w:after="0" w:line="240" w:lineRule="auto"/>
      </w:pPr>
      <w:r>
        <w:separator/>
      </w:r>
    </w:p>
  </w:footnote>
  <w:footnote w:type="continuationSeparator" w:id="0">
    <w:p w:rsidR="00DC56C6" w:rsidRDefault="00DC56C6" w:rsidP="00DC56C6">
      <w:pPr>
        <w:spacing w:after="0" w:line="240" w:lineRule="auto"/>
      </w:pPr>
      <w:r>
        <w:continuationSeparator/>
      </w:r>
    </w:p>
  </w:footnote>
  <w:footnote w:id="1">
    <w:p w:rsidR="00DC56C6" w:rsidRPr="00170548" w:rsidRDefault="00DC56C6" w:rsidP="00DC56C6">
      <w:pPr>
        <w:pStyle w:val="FootnoteText"/>
      </w:pPr>
      <w:r>
        <w:rPr>
          <w:rStyle w:val="FootnoteReference"/>
        </w:rPr>
        <w:footnoteRef/>
      </w:r>
      <w:r>
        <w:t xml:space="preserve"> </w:t>
      </w:r>
      <w:r w:rsidRPr="00170548">
        <w:t>Atbilstoš</w:t>
      </w:r>
      <w:r>
        <w:t>i Regulas Nr.1303/2013 2.panta 9</w:t>
      </w:r>
      <w:r w:rsidRPr="00170548">
        <w:t>.punktā noteiktajam.</w:t>
      </w:r>
    </w:p>
  </w:footnote>
  <w:footnote w:id="2">
    <w:p w:rsidR="00DC56C6" w:rsidRPr="001C5D86" w:rsidRDefault="00DC56C6" w:rsidP="00DC56C6">
      <w:pPr>
        <w:pStyle w:val="FootnoteText"/>
      </w:pPr>
      <w:r w:rsidRPr="00CA7062">
        <w:rPr>
          <w:rStyle w:val="FootnoteReference"/>
        </w:rPr>
        <w:footnoteRef/>
      </w:r>
      <w:r w:rsidRPr="00CA7062">
        <w:t xml:space="preserve"> Atbilstoši Regulas </w:t>
      </w:r>
      <w:r>
        <w:t>Nr.</w:t>
      </w:r>
      <w:r w:rsidRPr="00CA7062">
        <w:t>1</w:t>
      </w:r>
      <w:r>
        <w:t>303</w:t>
      </w:r>
      <w:r w:rsidRPr="00CA7062">
        <w:t>/</w:t>
      </w:r>
      <w:r>
        <w:t>2013 2.panta 37.</w:t>
      </w:r>
      <w:r w:rsidRPr="00CA7062">
        <w:t>punktā noteiktajam.</w:t>
      </w:r>
    </w:p>
  </w:footnote>
  <w:footnote w:id="3">
    <w:p w:rsidR="00DC56C6" w:rsidRPr="00BB7091" w:rsidRDefault="00DC56C6" w:rsidP="00DC56C6">
      <w:pPr>
        <w:pStyle w:val="FootnoteText"/>
        <w:jc w:val="both"/>
      </w:pPr>
      <w:r>
        <w:rPr>
          <w:rStyle w:val="FootnoteReference"/>
        </w:rPr>
        <w:footnoteRef/>
      </w:r>
      <w:r>
        <w:t xml:space="preserve"> Galasaņēmējs ir juridiska vai fiziska persona, kas saņem finanšu atbalstu ar finanšu instrumentu starpniecību. (</w:t>
      </w:r>
      <w:r w:rsidRPr="00BB7091">
        <w:t xml:space="preserve">Atbilstoši Regulas Nr.1303/2013 2.panta </w:t>
      </w:r>
      <w:r>
        <w:t>12</w:t>
      </w:r>
      <w:r w:rsidRPr="00BB7091">
        <w:t>.punktā noteiktajam</w:t>
      </w:r>
      <w:r>
        <w:t>)</w:t>
      </w:r>
    </w:p>
  </w:footnote>
  <w:footnote w:id="4">
    <w:p w:rsidR="00DC56C6" w:rsidRPr="0074191C" w:rsidRDefault="00DC56C6" w:rsidP="00DC56C6">
      <w:pPr>
        <w:pStyle w:val="FootnoteText"/>
        <w:jc w:val="both"/>
      </w:pPr>
      <w:r w:rsidRPr="00F65E99">
        <w:rPr>
          <w:rStyle w:val="FootnoteReference"/>
        </w:rPr>
        <w:footnoteRef/>
      </w:r>
      <w:r w:rsidRPr="00F65E99">
        <w:t xml:space="preserve"> Ministru kabineta 201</w:t>
      </w:r>
      <w:r>
        <w:t>5</w:t>
      </w:r>
      <w:r w:rsidRPr="00E76F18">
        <w:t xml:space="preserve">.gada </w:t>
      </w:r>
      <w:r w:rsidR="0099511C">
        <w:t>8</w:t>
      </w:r>
      <w:r w:rsidRPr="00E76F18">
        <w:t>.</w:t>
      </w:r>
      <w:r w:rsidR="0099511C">
        <w:t>septembra</w:t>
      </w:r>
      <w:r w:rsidRPr="00E76F18">
        <w:t xml:space="preserve"> noteikumiem Nr</w:t>
      </w:r>
      <w:r w:rsidR="0099511C">
        <w:t>.517</w:t>
      </w:r>
      <w:r w:rsidRPr="00E76F18">
        <w:t xml:space="preserve"> </w:t>
      </w:r>
      <w:r w:rsidRPr="00E76F18">
        <w:rPr>
          <w:iCs/>
        </w:rPr>
        <w:t>„</w:t>
      </w:r>
      <w:r w:rsidR="0099511C" w:rsidRPr="0099511C">
        <w:rPr>
          <w:iCs/>
        </w:rPr>
        <w:t>Kārtība, kādā ziņo par konstatētajām neatbilstībām un atgūst neatbilstoši veiktos izdevumus Eiropas Savienības struktūrfondu un Kohēzi</w:t>
      </w:r>
      <w:r w:rsidR="00271052">
        <w:rPr>
          <w:iCs/>
        </w:rPr>
        <w:t>jas fonda ieviešanā 2014.–2020.</w:t>
      </w:r>
      <w:r w:rsidR="0099511C" w:rsidRPr="0099511C">
        <w:rPr>
          <w:iCs/>
        </w:rPr>
        <w:t>gada plānošanas periodā</w:t>
      </w:r>
      <w:r w:rsidRPr="00F65E99">
        <w:rPr>
          <w:iCs/>
        </w:rPr>
        <w:t>”.</w:t>
      </w:r>
    </w:p>
  </w:footnote>
  <w:footnote w:id="5">
    <w:p w:rsidR="00DC56C6" w:rsidRPr="00F6291E" w:rsidRDefault="00DC56C6" w:rsidP="00DC56C6">
      <w:pPr>
        <w:pStyle w:val="FootnoteText"/>
      </w:pPr>
      <w:r>
        <w:rPr>
          <w:rStyle w:val="FootnoteReference"/>
        </w:rPr>
        <w:footnoteRef/>
      </w:r>
      <w:r>
        <w:t xml:space="preserve">  "pārkāpums" ir jebkurš Savienības tiesību akta vai valsts tiesību akta pārkāpums saistībā ar tā piemērošanu, kas noticis tāda ekonomikas dalībnieka darbības vai bezdarbības dēļ, kurš ir iesaistīts ESI fondu īstenošanā, un kas rada vai varētu radīt kaitējumu Savienības budžetam, prasot no Savienības budžeta segt nepamatotu izdevumu daļu.</w:t>
      </w:r>
    </w:p>
  </w:footnote>
  <w:footnote w:id="6">
    <w:p w:rsidR="00DC56C6" w:rsidRPr="0073519E" w:rsidRDefault="00DC56C6" w:rsidP="002831F2">
      <w:pPr>
        <w:pStyle w:val="FootnoteText"/>
        <w:jc w:val="both"/>
      </w:pPr>
      <w:r>
        <w:rPr>
          <w:rStyle w:val="FootnoteReference"/>
        </w:rPr>
        <w:footnoteRef/>
      </w:r>
      <w:r>
        <w:t xml:space="preserve"> L</w:t>
      </w:r>
      <w:r w:rsidRPr="00F6291E">
        <w:t>atvijas Administratīvo pārkāpumu kodekss</w:t>
      </w:r>
      <w:r>
        <w:t xml:space="preserve">: </w:t>
      </w:r>
      <w:r w:rsidRPr="00F6291E">
        <w:t>189.</w:t>
      </w:r>
      <w:r w:rsidRPr="0073519E">
        <w:rPr>
          <w:vertAlign w:val="superscript"/>
        </w:rPr>
        <w:t>2</w:t>
      </w:r>
      <w:r w:rsidRPr="00F6291E">
        <w:t xml:space="preserve"> pants. Ārzemnieka nodarbināšanas aizlieguma pārkāpšana </w:t>
      </w:r>
      <w:r>
        <w:t xml:space="preserve">Par vienas vai vairāku tādu personu (līdz piecām personām) nodarbināšanu, kuras nav tiesīgas uzturēties Latvijas Republikā, — uzliek naudas sodu fiziskajām personām vai valdes loceklim no divsimt desmit līdz piecsimt </w:t>
      </w:r>
      <w:r w:rsidRPr="006D5420">
        <w:rPr>
          <w:i/>
        </w:rPr>
        <w:t>euro</w:t>
      </w:r>
      <w:r>
        <w:t>, atņemot valdes loceklim tiesības ieņemt noteiktus amatus komercsabiedrībās vai bez tā. (16.06.2011. likuma redakcijā ar grozījumiem, kas izdarīti ar 29.11.2012. un 26.09.2013. likumu, kas stājas spēkā 01.01.2014.)</w:t>
      </w:r>
      <w:r w:rsidRPr="00F6291E">
        <w:t xml:space="preserve"> </w:t>
      </w:r>
      <w:hyperlink r:id="rId1" w:history="1">
        <w:r w:rsidRPr="00E608C1">
          <w:rPr>
            <w:rStyle w:val="Hyperlink"/>
          </w:rPr>
          <w:t>http://likumi.lv/doc.php?id=89648</w:t>
        </w:r>
      </w:hyperlink>
      <w:r>
        <w:t xml:space="preserve"> </w:t>
      </w:r>
    </w:p>
  </w:footnote>
  <w:footnote w:id="7">
    <w:p w:rsidR="00DC56C6" w:rsidRPr="0073519E" w:rsidRDefault="00DC56C6" w:rsidP="002831F2">
      <w:pPr>
        <w:pStyle w:val="FootnoteText"/>
        <w:jc w:val="both"/>
      </w:pPr>
      <w:r>
        <w:rPr>
          <w:rStyle w:val="FootnoteReference"/>
        </w:rPr>
        <w:footnoteRef/>
      </w:r>
      <w:r w:rsidR="007F30EF">
        <w:t xml:space="preserve"> </w:t>
      </w:r>
      <w:r>
        <w:t xml:space="preserve">Krimināllikums: </w:t>
      </w:r>
      <w:r w:rsidRPr="00F6291E">
        <w:t xml:space="preserve">280.pants. Personas nodarbināšanas noteikumu pārkāpšana </w:t>
      </w:r>
      <w:r>
        <w:t>(2) Par tādas personas nodarbināšanu, kura nav tiesīga uzturēties Latvijas Republikā, ja to izdarījis darba devējs un ja nodarbināts nepilngadīgais vai ja nodarbinātas vairāk nekā piecas personas, vai ja persona nodarbināta īpaši ekspluatējošos darba apstākļos, vai ja apzināti nodarbināts cilvēku tirdzniecības upuris, — soda ar īslaicīgu brīvības atņemšanu vai ar piespiedu darbu, vai ar naudas sodu. (16.06.2011. likuma redakcijā ar grozījumiem, kas izdarīti ar 13.12.2012. likumu, kas stājas spēkā 01.04.2013.)</w:t>
      </w:r>
      <w:r w:rsidR="006D160B">
        <w:t xml:space="preserve"> - </w:t>
      </w:r>
      <w:r>
        <w:t xml:space="preserve"> </w:t>
      </w:r>
      <w:hyperlink r:id="rId2" w:history="1">
        <w:r w:rsidRPr="00E608C1">
          <w:rPr>
            <w:rStyle w:val="Hyperlink"/>
          </w:rPr>
          <w:t>http://likumi.lv/doc.php?id=88966</w:t>
        </w:r>
      </w:hyperlink>
      <w:r>
        <w:t xml:space="preserve"> </w:t>
      </w:r>
    </w:p>
  </w:footnote>
  <w:footnote w:id="8">
    <w:p w:rsidR="00DC56C6" w:rsidRPr="00B708B8" w:rsidRDefault="00DC56C6" w:rsidP="00EA5081">
      <w:pPr>
        <w:pStyle w:val="FootnoteText"/>
        <w:jc w:val="both"/>
      </w:pPr>
      <w:r>
        <w:rPr>
          <w:rStyle w:val="FootnoteReference"/>
        </w:rPr>
        <w:footnoteRef/>
      </w:r>
      <w:r>
        <w:t xml:space="preserve"> Atbilstoši EK 2015.gada 8.jūlija Deleģētās Regulas 2.panta b)punktā noteiktajam</w:t>
      </w:r>
      <w:r w:rsidR="008C34B3">
        <w:t xml:space="preserve"> (šo vadlīniju 1.pielikuma </w:t>
      </w:r>
      <w:r w:rsidR="0054640C">
        <w:t>6</w:t>
      </w:r>
      <w:r w:rsidR="008C34B3">
        <w:t>.punktu)</w:t>
      </w:r>
      <w:r>
        <w:t xml:space="preserve">. </w:t>
      </w:r>
    </w:p>
  </w:footnote>
  <w:footnote w:id="9">
    <w:p w:rsidR="00DC56C6" w:rsidRPr="006B4705" w:rsidRDefault="00DC56C6" w:rsidP="00EA5081">
      <w:pPr>
        <w:pStyle w:val="FootnoteText"/>
        <w:jc w:val="both"/>
      </w:pPr>
      <w:r>
        <w:rPr>
          <w:rStyle w:val="FootnoteReference"/>
        </w:rPr>
        <w:footnoteRef/>
      </w:r>
      <w:r>
        <w:t xml:space="preserve"> </w:t>
      </w:r>
      <w:r w:rsidRPr="00B708B8">
        <w:t xml:space="preserve">Atbilstoši EK 2015.gada 8.jūlija Deleģētās Regulas 2.panta </w:t>
      </w:r>
      <w:r>
        <w:t>a)</w:t>
      </w:r>
      <w:r w:rsidRPr="00B708B8">
        <w:t>punktā noteiktajam</w:t>
      </w:r>
      <w:r w:rsidR="008C34B3">
        <w:t xml:space="preserve"> </w:t>
      </w:r>
      <w:r w:rsidR="008C34B3" w:rsidRPr="008C34B3">
        <w:t xml:space="preserve">(šo vadlīniju 1.pielikuma </w:t>
      </w:r>
      <w:r w:rsidR="0054640C">
        <w:t>6</w:t>
      </w:r>
      <w:r w:rsidR="008C34B3" w:rsidRPr="008C34B3">
        <w:t>.punktu).</w:t>
      </w:r>
    </w:p>
  </w:footnote>
  <w:footnote w:id="10">
    <w:p w:rsidR="00EA5081" w:rsidRDefault="00EA5081">
      <w:pPr>
        <w:pStyle w:val="FootnoteText"/>
      </w:pPr>
      <w:r>
        <w:rPr>
          <w:rStyle w:val="FootnoteReference"/>
        </w:rPr>
        <w:footnoteRef/>
      </w:r>
      <w:r>
        <w:t xml:space="preserve"> </w:t>
      </w:r>
      <w:r w:rsidRPr="009C5B7E">
        <w:t xml:space="preserve">Atbilstoši Regulas Nr.1303/2013 2.panta </w:t>
      </w:r>
      <w:r>
        <w:t>38</w:t>
      </w:r>
      <w:r w:rsidRPr="009C5B7E">
        <w:t>.punktā noteiktajam</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B3" w:rsidRDefault="00611B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B3" w:rsidRDefault="00611B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3398"/>
      <w:gridCol w:w="1134"/>
      <w:gridCol w:w="1513"/>
      <w:gridCol w:w="1052"/>
    </w:tblGrid>
    <w:tr w:rsidR="00611BB3" w:rsidRPr="00115688" w:rsidTr="002C0064">
      <w:trPr>
        <w:trHeight w:val="889"/>
        <w:jc w:val="center"/>
      </w:trPr>
      <w:tc>
        <w:tcPr>
          <w:tcW w:w="2551" w:type="dxa"/>
          <w:tcBorders>
            <w:top w:val="single" w:sz="4" w:space="0" w:color="auto"/>
            <w:left w:val="single" w:sz="4" w:space="0" w:color="auto"/>
            <w:bottom w:val="single" w:sz="4" w:space="0" w:color="auto"/>
            <w:right w:val="single" w:sz="4" w:space="0" w:color="auto"/>
          </w:tcBorders>
          <w:hideMark/>
        </w:tcPr>
        <w:p w:rsidR="00611BB3" w:rsidRPr="00115688" w:rsidRDefault="00611BB3" w:rsidP="00611BB3">
          <w:pPr>
            <w:tabs>
              <w:tab w:val="center" w:pos="4153"/>
              <w:tab w:val="right" w:pos="8306"/>
            </w:tabs>
            <w:spacing w:after="0" w:line="240" w:lineRule="auto"/>
            <w:ind w:right="360"/>
            <w:jc w:val="both"/>
            <w:rPr>
              <w:rFonts w:ascii="Times New Roman" w:eastAsia="Calibri" w:hAnsi="Times New Roman" w:cs="Times New Roman"/>
              <w:sz w:val="18"/>
            </w:rPr>
          </w:pPr>
          <w:r w:rsidRPr="00115688">
            <w:rPr>
              <w:rFonts w:ascii="Times New Roman" w:eastAsia="Calibri" w:hAnsi="Times New Roman" w:cs="Times New Roman"/>
              <w:sz w:val="18"/>
            </w:rPr>
            <w:t>Iestāde:</w:t>
          </w:r>
          <w:r w:rsidRPr="00115688">
            <w:rPr>
              <w:rFonts w:ascii="Times New Roman" w:eastAsia="Calibri" w:hAnsi="Times New Roman" w:cs="Times New Roman"/>
              <w:b/>
              <w:bCs/>
              <w:sz w:val="18"/>
            </w:rPr>
            <w:t xml:space="preserve"> Finanšu ministrija</w:t>
          </w:r>
        </w:p>
        <w:p w:rsidR="00611BB3" w:rsidRPr="00115688" w:rsidRDefault="00611BB3" w:rsidP="00611BB3">
          <w:pPr>
            <w:tabs>
              <w:tab w:val="center" w:pos="4153"/>
              <w:tab w:val="right" w:pos="8306"/>
            </w:tabs>
            <w:spacing w:after="0" w:line="240" w:lineRule="auto"/>
            <w:jc w:val="both"/>
            <w:rPr>
              <w:rFonts w:ascii="Times New Roman" w:eastAsia="Calibri" w:hAnsi="Times New Roman" w:cs="Times New Roman"/>
              <w:b/>
              <w:bCs/>
              <w:sz w:val="18"/>
            </w:rPr>
          </w:pPr>
          <w:r w:rsidRPr="00115688">
            <w:rPr>
              <w:rFonts w:ascii="Times New Roman" w:eastAsia="Calibri" w:hAnsi="Times New Roman" w:cs="Times New Roman"/>
              <w:sz w:val="18"/>
            </w:rPr>
            <w:t>Struktūrvienība:</w:t>
          </w:r>
          <w:r w:rsidRPr="00115688">
            <w:rPr>
              <w:rFonts w:ascii="Times New Roman" w:eastAsia="Calibri" w:hAnsi="Times New Roman" w:cs="Times New Roman"/>
              <w:b/>
              <w:bCs/>
              <w:sz w:val="18"/>
            </w:rPr>
            <w:t xml:space="preserve"> </w:t>
          </w:r>
        </w:p>
        <w:p w:rsidR="00611BB3" w:rsidRPr="00115688" w:rsidRDefault="00611BB3" w:rsidP="00611BB3">
          <w:pPr>
            <w:tabs>
              <w:tab w:val="center" w:pos="4153"/>
              <w:tab w:val="right" w:pos="8306"/>
            </w:tabs>
            <w:spacing w:after="0" w:line="240" w:lineRule="auto"/>
            <w:jc w:val="both"/>
            <w:rPr>
              <w:rFonts w:ascii="Times New Roman" w:eastAsia="Calibri" w:hAnsi="Times New Roman" w:cs="Times New Roman"/>
              <w:b/>
              <w:bCs/>
              <w:sz w:val="18"/>
            </w:rPr>
          </w:pPr>
          <w:r w:rsidRPr="00115688">
            <w:rPr>
              <w:rFonts w:ascii="Times New Roman" w:eastAsia="Calibri" w:hAnsi="Times New Roman" w:cs="Times New Roman"/>
              <w:b/>
              <w:bCs/>
              <w:sz w:val="18"/>
            </w:rPr>
            <w:t>Eiropas Savienības fondu vadības un kontroles departaments</w:t>
          </w:r>
        </w:p>
      </w:tc>
      <w:tc>
        <w:tcPr>
          <w:tcW w:w="3398" w:type="dxa"/>
          <w:tcBorders>
            <w:top w:val="single" w:sz="4" w:space="0" w:color="auto"/>
            <w:left w:val="single" w:sz="4" w:space="0" w:color="auto"/>
            <w:bottom w:val="single" w:sz="4" w:space="0" w:color="auto"/>
            <w:right w:val="single" w:sz="4" w:space="0" w:color="auto"/>
          </w:tcBorders>
        </w:tcPr>
        <w:p w:rsidR="00611BB3" w:rsidRPr="00115688" w:rsidRDefault="00611BB3" w:rsidP="00611BB3">
          <w:pPr>
            <w:tabs>
              <w:tab w:val="center" w:pos="4153"/>
              <w:tab w:val="right" w:pos="8306"/>
            </w:tabs>
            <w:spacing w:after="0" w:line="240" w:lineRule="auto"/>
            <w:rPr>
              <w:rFonts w:ascii="Times New Roman" w:eastAsia="Calibri" w:hAnsi="Times New Roman" w:cs="Times New Roman"/>
              <w:sz w:val="18"/>
            </w:rPr>
          </w:pPr>
        </w:p>
      </w:tc>
      <w:tc>
        <w:tcPr>
          <w:tcW w:w="3699" w:type="dxa"/>
          <w:gridSpan w:val="3"/>
          <w:tcBorders>
            <w:top w:val="single" w:sz="4" w:space="0" w:color="auto"/>
            <w:left w:val="single" w:sz="4" w:space="0" w:color="auto"/>
            <w:bottom w:val="single" w:sz="4" w:space="0" w:color="auto"/>
            <w:right w:val="single" w:sz="4" w:space="0" w:color="auto"/>
          </w:tcBorders>
          <w:hideMark/>
        </w:tcPr>
        <w:p w:rsidR="00611BB3" w:rsidRPr="00115688" w:rsidRDefault="00611BB3" w:rsidP="00611BB3">
          <w:pPr>
            <w:tabs>
              <w:tab w:val="center" w:pos="4153"/>
              <w:tab w:val="right" w:pos="8306"/>
            </w:tabs>
            <w:spacing w:after="0" w:line="240" w:lineRule="auto"/>
            <w:rPr>
              <w:rFonts w:ascii="Times New Roman" w:eastAsia="Calibri" w:hAnsi="Times New Roman" w:cs="Times New Roman"/>
              <w:sz w:val="18"/>
            </w:rPr>
          </w:pPr>
          <w:r w:rsidRPr="00115688">
            <w:rPr>
              <w:rFonts w:ascii="Times New Roman" w:eastAsia="Calibri" w:hAnsi="Times New Roman" w:cs="Times New Roman"/>
              <w:sz w:val="18"/>
            </w:rPr>
            <w:t>Dokumenta nosaukums:</w:t>
          </w:r>
        </w:p>
        <w:p w:rsidR="00611BB3" w:rsidRPr="00115688" w:rsidRDefault="00611BB3" w:rsidP="00611BB3">
          <w:pPr>
            <w:spacing w:after="0" w:line="240" w:lineRule="auto"/>
            <w:jc w:val="both"/>
            <w:rPr>
              <w:rFonts w:ascii="Times New Roman" w:eastAsia="Calibri" w:hAnsi="Times New Roman" w:cs="Times New Roman"/>
              <w:b/>
              <w:sz w:val="18"/>
              <w:szCs w:val="20"/>
            </w:rPr>
          </w:pPr>
          <w:r w:rsidRPr="00115688">
            <w:rPr>
              <w:rFonts w:ascii="Times New Roman" w:eastAsia="Calibri" w:hAnsi="Times New Roman" w:cs="Times New Roman"/>
              <w:b/>
              <w:sz w:val="18"/>
              <w:szCs w:val="20"/>
            </w:rPr>
            <w:t>Vadlīnijas par finanšu korekciju piemērošanu, ziņošanu par Eiropas Savienības fondu ieviešanā konstatētajām neatbilstībām, neatbilstoši veikto izdevumu atgūšanu 2014.-2020.gada plānošanas periodā</w:t>
          </w:r>
        </w:p>
      </w:tc>
    </w:tr>
    <w:tr w:rsidR="00611BB3" w:rsidRPr="00115688" w:rsidTr="002C0064">
      <w:trPr>
        <w:trHeight w:val="876"/>
        <w:jc w:val="center"/>
      </w:trPr>
      <w:tc>
        <w:tcPr>
          <w:tcW w:w="2551" w:type="dxa"/>
          <w:tcBorders>
            <w:top w:val="single" w:sz="2" w:space="0" w:color="auto"/>
            <w:left w:val="single" w:sz="4" w:space="0" w:color="auto"/>
            <w:bottom w:val="single" w:sz="12" w:space="0" w:color="auto"/>
            <w:right w:val="single" w:sz="4" w:space="0" w:color="auto"/>
          </w:tcBorders>
          <w:hideMark/>
        </w:tcPr>
        <w:p w:rsidR="00611BB3" w:rsidRPr="00115688" w:rsidRDefault="00611BB3" w:rsidP="00611BB3">
          <w:pPr>
            <w:tabs>
              <w:tab w:val="center" w:pos="4153"/>
              <w:tab w:val="right" w:pos="8306"/>
            </w:tabs>
            <w:spacing w:after="0" w:line="240" w:lineRule="auto"/>
            <w:rPr>
              <w:rFonts w:ascii="Times New Roman" w:eastAsia="Calibri" w:hAnsi="Times New Roman" w:cs="Times New Roman"/>
              <w:b/>
              <w:bCs/>
              <w:sz w:val="18"/>
            </w:rPr>
          </w:pPr>
          <w:r w:rsidRPr="00115688">
            <w:rPr>
              <w:rFonts w:ascii="Times New Roman" w:eastAsia="Calibri" w:hAnsi="Times New Roman" w:cs="Times New Roman"/>
              <w:sz w:val="18"/>
            </w:rPr>
            <w:t>Sagatavoja:</w:t>
          </w:r>
          <w:r w:rsidRPr="00115688">
            <w:rPr>
              <w:rFonts w:ascii="Times New Roman" w:eastAsia="Calibri" w:hAnsi="Times New Roman" w:cs="Times New Roman"/>
              <w:b/>
              <w:bCs/>
              <w:sz w:val="18"/>
            </w:rPr>
            <w:t xml:space="preserve"> </w:t>
          </w:r>
        </w:p>
        <w:p w:rsidR="00611BB3" w:rsidRPr="00115688" w:rsidRDefault="00611BB3" w:rsidP="00611BB3">
          <w:pPr>
            <w:tabs>
              <w:tab w:val="center" w:pos="4153"/>
              <w:tab w:val="right" w:pos="8306"/>
            </w:tabs>
            <w:spacing w:after="0" w:line="240" w:lineRule="auto"/>
            <w:jc w:val="both"/>
            <w:rPr>
              <w:rFonts w:ascii="Times New Roman" w:eastAsia="Calibri" w:hAnsi="Times New Roman" w:cs="Times New Roman"/>
              <w:sz w:val="18"/>
            </w:rPr>
          </w:pPr>
          <w:r w:rsidRPr="00115688">
            <w:rPr>
              <w:rFonts w:ascii="Times New Roman" w:eastAsia="Calibri" w:hAnsi="Times New Roman" w:cs="Times New Roman"/>
              <w:b/>
              <w:bCs/>
              <w:sz w:val="18"/>
            </w:rPr>
            <w:t>Eiropas Savienības fondu ieviešanas vadības nodaļa</w:t>
          </w:r>
        </w:p>
      </w:tc>
      <w:tc>
        <w:tcPr>
          <w:tcW w:w="3398" w:type="dxa"/>
          <w:tcBorders>
            <w:top w:val="single" w:sz="2" w:space="0" w:color="auto"/>
            <w:left w:val="single" w:sz="4" w:space="0" w:color="auto"/>
            <w:bottom w:val="single" w:sz="12" w:space="0" w:color="auto"/>
            <w:right w:val="single" w:sz="4" w:space="0" w:color="auto"/>
          </w:tcBorders>
        </w:tcPr>
        <w:p w:rsidR="00611BB3" w:rsidRPr="00115688" w:rsidRDefault="00611BB3" w:rsidP="00611BB3">
          <w:pPr>
            <w:tabs>
              <w:tab w:val="center" w:pos="4153"/>
              <w:tab w:val="right" w:pos="8306"/>
            </w:tabs>
            <w:spacing w:after="0" w:line="240" w:lineRule="auto"/>
            <w:rPr>
              <w:rFonts w:ascii="Times New Roman" w:eastAsia="Calibri" w:hAnsi="Times New Roman" w:cs="Times New Roman"/>
              <w:b/>
              <w:bCs/>
              <w:sz w:val="18"/>
            </w:rPr>
          </w:pPr>
          <w:r w:rsidRPr="00115688">
            <w:rPr>
              <w:rFonts w:ascii="Times New Roman" w:eastAsia="Calibri" w:hAnsi="Times New Roman" w:cs="Times New Roman"/>
              <w:sz w:val="18"/>
            </w:rPr>
            <w:t xml:space="preserve">Apstiprināts: </w:t>
          </w:r>
          <w:r w:rsidRPr="00115688">
            <w:rPr>
              <w:rFonts w:ascii="Times New Roman" w:eastAsia="Calibri" w:hAnsi="Times New Roman" w:cs="Times New Roman"/>
              <w:b/>
              <w:bCs/>
              <w:sz w:val="18"/>
            </w:rPr>
            <w:t xml:space="preserve"> </w:t>
          </w:r>
        </w:p>
        <w:p w:rsidR="00611BB3" w:rsidRPr="00324778" w:rsidRDefault="00611BB3" w:rsidP="00611BB3">
          <w:pPr>
            <w:tabs>
              <w:tab w:val="center" w:pos="4153"/>
              <w:tab w:val="right" w:pos="8306"/>
            </w:tabs>
            <w:spacing w:after="0" w:line="240" w:lineRule="auto"/>
            <w:jc w:val="both"/>
            <w:rPr>
              <w:rFonts w:ascii="Times New Roman" w:eastAsia="Calibri" w:hAnsi="Times New Roman" w:cs="Times New Roman"/>
              <w:b/>
              <w:bCs/>
              <w:sz w:val="18"/>
              <w:szCs w:val="18"/>
            </w:rPr>
          </w:pPr>
          <w:r w:rsidRPr="00115688">
            <w:rPr>
              <w:rFonts w:ascii="Times New Roman" w:eastAsia="Calibri" w:hAnsi="Times New Roman" w:cs="Times New Roman"/>
              <w:b/>
              <w:bCs/>
              <w:sz w:val="18"/>
              <w:szCs w:val="18"/>
            </w:rPr>
            <w:t>Vadošās iestādes vadītāja vietā – Eiropas Savienības fondu uzraudzības departamenta direktore D.Rancāne</w:t>
          </w:r>
        </w:p>
      </w:tc>
      <w:tc>
        <w:tcPr>
          <w:tcW w:w="1134" w:type="dxa"/>
          <w:tcBorders>
            <w:top w:val="single" w:sz="2" w:space="0" w:color="auto"/>
            <w:left w:val="single" w:sz="4" w:space="0" w:color="auto"/>
            <w:bottom w:val="single" w:sz="12" w:space="0" w:color="auto"/>
            <w:right w:val="single" w:sz="4" w:space="0" w:color="auto"/>
          </w:tcBorders>
          <w:hideMark/>
        </w:tcPr>
        <w:p w:rsidR="00611BB3" w:rsidRPr="00115688" w:rsidRDefault="00611BB3" w:rsidP="00611BB3">
          <w:pPr>
            <w:tabs>
              <w:tab w:val="center" w:pos="4153"/>
              <w:tab w:val="right" w:pos="8306"/>
            </w:tabs>
            <w:spacing w:after="0" w:line="240" w:lineRule="auto"/>
            <w:jc w:val="both"/>
            <w:rPr>
              <w:rFonts w:ascii="Times New Roman" w:eastAsia="Calibri" w:hAnsi="Times New Roman" w:cs="Times New Roman"/>
              <w:sz w:val="18"/>
            </w:rPr>
          </w:pPr>
          <w:r w:rsidRPr="00115688">
            <w:rPr>
              <w:rFonts w:ascii="Times New Roman" w:eastAsia="Calibri" w:hAnsi="Times New Roman" w:cs="Times New Roman"/>
              <w:sz w:val="18"/>
            </w:rPr>
            <w:t>Variants:</w:t>
          </w:r>
        </w:p>
        <w:p w:rsidR="00611BB3" w:rsidRPr="00115688" w:rsidRDefault="00E87A7A" w:rsidP="00611BB3">
          <w:pPr>
            <w:tabs>
              <w:tab w:val="center" w:pos="4153"/>
              <w:tab w:val="right" w:pos="8306"/>
            </w:tabs>
            <w:spacing w:after="0" w:line="240" w:lineRule="auto"/>
            <w:jc w:val="center"/>
            <w:rPr>
              <w:rFonts w:ascii="Times New Roman" w:eastAsia="Calibri" w:hAnsi="Times New Roman" w:cs="Times New Roman"/>
              <w:sz w:val="18"/>
            </w:rPr>
          </w:pPr>
          <w:r>
            <w:rPr>
              <w:rFonts w:ascii="Times New Roman" w:eastAsia="Calibri" w:hAnsi="Times New Roman" w:cs="Times New Roman"/>
              <w:sz w:val="18"/>
            </w:rPr>
            <w:t>4</w:t>
          </w:r>
        </w:p>
      </w:tc>
      <w:tc>
        <w:tcPr>
          <w:tcW w:w="1513" w:type="dxa"/>
          <w:tcBorders>
            <w:top w:val="single" w:sz="2" w:space="0" w:color="auto"/>
            <w:left w:val="single" w:sz="4" w:space="0" w:color="auto"/>
            <w:bottom w:val="single" w:sz="12" w:space="0" w:color="auto"/>
            <w:right w:val="single" w:sz="4" w:space="0" w:color="auto"/>
          </w:tcBorders>
        </w:tcPr>
        <w:p w:rsidR="00611BB3" w:rsidRPr="00115688" w:rsidRDefault="00611BB3" w:rsidP="00611BB3">
          <w:pPr>
            <w:tabs>
              <w:tab w:val="center" w:pos="4153"/>
              <w:tab w:val="right" w:pos="8306"/>
            </w:tabs>
            <w:spacing w:after="0" w:line="240" w:lineRule="auto"/>
            <w:jc w:val="both"/>
            <w:rPr>
              <w:rFonts w:ascii="Times New Roman" w:eastAsia="Calibri" w:hAnsi="Times New Roman" w:cs="Times New Roman"/>
              <w:sz w:val="18"/>
            </w:rPr>
          </w:pPr>
          <w:r w:rsidRPr="00115688">
            <w:rPr>
              <w:rFonts w:ascii="Times New Roman" w:eastAsia="Calibri" w:hAnsi="Times New Roman" w:cs="Times New Roman"/>
              <w:sz w:val="18"/>
            </w:rPr>
            <w:t>Datums:</w:t>
          </w:r>
        </w:p>
        <w:p w:rsidR="00611BB3" w:rsidRPr="00115688" w:rsidRDefault="00F7587C" w:rsidP="00611BB3">
          <w:pPr>
            <w:tabs>
              <w:tab w:val="center" w:pos="4153"/>
              <w:tab w:val="right" w:pos="8306"/>
            </w:tabs>
            <w:spacing w:after="0" w:line="240" w:lineRule="auto"/>
            <w:jc w:val="center"/>
            <w:rPr>
              <w:rFonts w:ascii="Times New Roman" w:eastAsia="Calibri" w:hAnsi="Times New Roman" w:cs="Times New Roman"/>
              <w:sz w:val="18"/>
            </w:rPr>
          </w:pPr>
          <w:r>
            <w:rPr>
              <w:rFonts w:ascii="Times New Roman" w:hAnsi="Times New Roman"/>
              <w:sz w:val="18"/>
              <w:szCs w:val="18"/>
            </w:rPr>
            <w:t>22.08.2017.</w:t>
          </w:r>
        </w:p>
      </w:tc>
      <w:tc>
        <w:tcPr>
          <w:tcW w:w="1052" w:type="dxa"/>
          <w:tcBorders>
            <w:top w:val="single" w:sz="2" w:space="0" w:color="auto"/>
            <w:left w:val="single" w:sz="4" w:space="0" w:color="auto"/>
            <w:bottom w:val="single" w:sz="12" w:space="0" w:color="auto"/>
            <w:right w:val="single" w:sz="4" w:space="0" w:color="auto"/>
          </w:tcBorders>
        </w:tcPr>
        <w:p w:rsidR="00611BB3" w:rsidRPr="00115688" w:rsidRDefault="00611BB3" w:rsidP="00611BB3">
          <w:pPr>
            <w:tabs>
              <w:tab w:val="center" w:pos="4153"/>
              <w:tab w:val="right" w:pos="8306"/>
            </w:tabs>
            <w:spacing w:after="0" w:line="240" w:lineRule="auto"/>
            <w:jc w:val="both"/>
            <w:rPr>
              <w:rFonts w:ascii="Times New Roman" w:eastAsia="Calibri" w:hAnsi="Times New Roman" w:cs="Times New Roman"/>
              <w:sz w:val="18"/>
            </w:rPr>
          </w:pPr>
          <w:r w:rsidRPr="00115688">
            <w:rPr>
              <w:rFonts w:ascii="Times New Roman" w:eastAsia="Calibri" w:hAnsi="Times New Roman" w:cs="Times New Roman"/>
              <w:sz w:val="18"/>
            </w:rPr>
            <w:t>Lappuses:</w:t>
          </w:r>
        </w:p>
        <w:p w:rsidR="00611BB3" w:rsidRPr="00115688" w:rsidRDefault="00611BB3" w:rsidP="00611BB3">
          <w:pPr>
            <w:tabs>
              <w:tab w:val="center" w:pos="4153"/>
              <w:tab w:val="right" w:pos="8306"/>
            </w:tabs>
            <w:spacing w:after="0" w:line="240" w:lineRule="auto"/>
            <w:jc w:val="center"/>
            <w:rPr>
              <w:rFonts w:ascii="Times New Roman" w:eastAsia="Calibri" w:hAnsi="Times New Roman" w:cs="Times New Roman"/>
              <w:b/>
              <w:sz w:val="18"/>
            </w:rPr>
          </w:pPr>
          <w:r w:rsidRPr="00115688">
            <w:rPr>
              <w:rFonts w:ascii="Times New Roman" w:eastAsia="Calibri" w:hAnsi="Times New Roman" w:cs="Times New Roman"/>
              <w:b/>
              <w:sz w:val="18"/>
            </w:rPr>
            <w:fldChar w:fldCharType="begin"/>
          </w:r>
          <w:r w:rsidRPr="00115688">
            <w:rPr>
              <w:rFonts w:ascii="Times New Roman" w:eastAsia="Calibri" w:hAnsi="Times New Roman" w:cs="Times New Roman"/>
              <w:b/>
              <w:sz w:val="18"/>
            </w:rPr>
            <w:instrText xml:space="preserve"> PAGE   \* MERGEFORMAT </w:instrText>
          </w:r>
          <w:r w:rsidRPr="00115688">
            <w:rPr>
              <w:rFonts w:ascii="Times New Roman" w:eastAsia="Calibri" w:hAnsi="Times New Roman" w:cs="Times New Roman"/>
              <w:b/>
              <w:sz w:val="18"/>
            </w:rPr>
            <w:fldChar w:fldCharType="separate"/>
          </w:r>
          <w:r w:rsidR="00954CD8">
            <w:rPr>
              <w:rFonts w:ascii="Times New Roman" w:eastAsia="Calibri" w:hAnsi="Times New Roman" w:cs="Times New Roman"/>
              <w:b/>
              <w:noProof/>
              <w:sz w:val="18"/>
            </w:rPr>
            <w:t>1</w:t>
          </w:r>
          <w:r w:rsidRPr="00115688">
            <w:rPr>
              <w:rFonts w:ascii="Times New Roman" w:eastAsia="Calibri" w:hAnsi="Times New Roman" w:cs="Times New Roman"/>
              <w:b/>
              <w:sz w:val="18"/>
            </w:rPr>
            <w:fldChar w:fldCharType="end"/>
          </w:r>
          <w:r w:rsidRPr="00115688">
            <w:rPr>
              <w:rFonts w:ascii="Times New Roman" w:eastAsia="Calibri" w:hAnsi="Times New Roman" w:cs="Times New Roman"/>
              <w:b/>
              <w:sz w:val="18"/>
            </w:rPr>
            <w:t xml:space="preserve"> no </w:t>
          </w:r>
          <w:r w:rsidR="00954CD8">
            <w:rPr>
              <w:rFonts w:ascii="Times New Roman" w:eastAsia="Calibri" w:hAnsi="Times New Roman" w:cs="Times New Roman"/>
              <w:b/>
              <w:sz w:val="18"/>
            </w:rPr>
            <w:t>2</w:t>
          </w:r>
          <w:bookmarkStart w:id="0" w:name="_GoBack"/>
          <w:bookmarkEnd w:id="0"/>
        </w:p>
        <w:p w:rsidR="00611BB3" w:rsidRPr="00115688" w:rsidRDefault="00611BB3" w:rsidP="00611BB3">
          <w:pPr>
            <w:tabs>
              <w:tab w:val="center" w:pos="4153"/>
              <w:tab w:val="right" w:pos="8306"/>
            </w:tabs>
            <w:spacing w:after="0" w:line="240" w:lineRule="auto"/>
            <w:jc w:val="center"/>
            <w:rPr>
              <w:rFonts w:ascii="Times New Roman" w:eastAsia="Calibri" w:hAnsi="Times New Roman" w:cs="Times New Roman"/>
              <w:b/>
              <w:sz w:val="18"/>
            </w:rPr>
          </w:pPr>
        </w:p>
      </w:tc>
    </w:tr>
  </w:tbl>
  <w:p w:rsidR="00611BB3" w:rsidRDefault="00611B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80C1B"/>
    <w:multiLevelType w:val="multilevel"/>
    <w:tmpl w:val="595A5492"/>
    <w:lvl w:ilvl="0">
      <w:start w:val="1"/>
      <w:numFmt w:val="decimal"/>
      <w:lvlText w:val="%1."/>
      <w:lvlJc w:val="left"/>
      <w:pPr>
        <w:ind w:left="786" w:hanging="360"/>
      </w:pPr>
      <w:rPr>
        <w:rFonts w:ascii="Times New Roman" w:hAnsi="Times New Roman" w:cs="Times New Roman" w:hint="default"/>
        <w:b w:val="0"/>
        <w:sz w:val="24"/>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documentProtection w:edit="trackedChanges" w:enforcement="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6C6"/>
    <w:rsid w:val="00032E1E"/>
    <w:rsid w:val="00097D3D"/>
    <w:rsid w:val="000A7140"/>
    <w:rsid w:val="00115688"/>
    <w:rsid w:val="00137C48"/>
    <w:rsid w:val="00137E6D"/>
    <w:rsid w:val="001B0FDB"/>
    <w:rsid w:val="002327CF"/>
    <w:rsid w:val="00271052"/>
    <w:rsid w:val="002779F1"/>
    <w:rsid w:val="002831F2"/>
    <w:rsid w:val="002C7E26"/>
    <w:rsid w:val="003004AD"/>
    <w:rsid w:val="0031083C"/>
    <w:rsid w:val="00324778"/>
    <w:rsid w:val="00370049"/>
    <w:rsid w:val="00386AAF"/>
    <w:rsid w:val="00397650"/>
    <w:rsid w:val="003C3659"/>
    <w:rsid w:val="00411C07"/>
    <w:rsid w:val="00426EAF"/>
    <w:rsid w:val="00461770"/>
    <w:rsid w:val="004D1A0C"/>
    <w:rsid w:val="004F5E74"/>
    <w:rsid w:val="0054640C"/>
    <w:rsid w:val="00564168"/>
    <w:rsid w:val="005C3399"/>
    <w:rsid w:val="00611BB3"/>
    <w:rsid w:val="006471A8"/>
    <w:rsid w:val="006622BF"/>
    <w:rsid w:val="006D160B"/>
    <w:rsid w:val="006D5420"/>
    <w:rsid w:val="00785536"/>
    <w:rsid w:val="007B5B2D"/>
    <w:rsid w:val="007D0E15"/>
    <w:rsid w:val="007F30EF"/>
    <w:rsid w:val="00801FEC"/>
    <w:rsid w:val="00812F6D"/>
    <w:rsid w:val="0081410E"/>
    <w:rsid w:val="008348CD"/>
    <w:rsid w:val="008A00AF"/>
    <w:rsid w:val="008C34B3"/>
    <w:rsid w:val="008E1047"/>
    <w:rsid w:val="00954CD8"/>
    <w:rsid w:val="009650B5"/>
    <w:rsid w:val="0099511C"/>
    <w:rsid w:val="00B16028"/>
    <w:rsid w:val="00B439E7"/>
    <w:rsid w:val="00B7398D"/>
    <w:rsid w:val="00B8429D"/>
    <w:rsid w:val="00D220A6"/>
    <w:rsid w:val="00D35834"/>
    <w:rsid w:val="00D824FB"/>
    <w:rsid w:val="00DA4D42"/>
    <w:rsid w:val="00DC56C6"/>
    <w:rsid w:val="00DD4321"/>
    <w:rsid w:val="00E102CB"/>
    <w:rsid w:val="00E87A7A"/>
    <w:rsid w:val="00EA5081"/>
    <w:rsid w:val="00F7587C"/>
    <w:rsid w:val="00FA1B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10FD0B1"/>
  <w15:docId w15:val="{803FDC74-1583-499D-94D9-D1AA0D8F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B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2 Char Char Char Char,Footnote Text Char1 Char Char Char Char Char,Footnote Text Char2,Footnot"/>
    <w:basedOn w:val="Normal"/>
    <w:link w:val="FootnoteTextChar"/>
    <w:uiPriority w:val="99"/>
    <w:unhideWhenUsed/>
    <w:rsid w:val="00DC56C6"/>
    <w:pPr>
      <w:spacing w:after="0" w:line="240" w:lineRule="auto"/>
    </w:pPr>
    <w:rPr>
      <w:rFonts w:ascii="Times New Roman" w:eastAsia="Calibri" w:hAnsi="Times New Roman" w:cs="Times New Roman"/>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2 Char Char Char Char Char,Footnote Text Char1 Char Char Char Char Char Char"/>
    <w:basedOn w:val="DefaultParagraphFont"/>
    <w:link w:val="FootnoteText"/>
    <w:uiPriority w:val="99"/>
    <w:rsid w:val="00DC56C6"/>
    <w:rPr>
      <w:rFonts w:ascii="Times New Roman" w:eastAsia="Calibri" w:hAnsi="Times New Roman" w:cs="Times New Roman"/>
      <w:sz w:val="20"/>
      <w:szCs w:val="20"/>
    </w:rPr>
  </w:style>
  <w:style w:type="character" w:styleId="FootnoteReference">
    <w:name w:val="footnote reference"/>
    <w:aliases w:val="Footnote Reference Number,Footnote symbol"/>
    <w:uiPriority w:val="99"/>
    <w:unhideWhenUsed/>
    <w:rsid w:val="00DC56C6"/>
    <w:rPr>
      <w:vertAlign w:val="superscript"/>
    </w:rPr>
  </w:style>
  <w:style w:type="character" w:styleId="Hyperlink">
    <w:name w:val="Hyperlink"/>
    <w:uiPriority w:val="99"/>
    <w:unhideWhenUsed/>
    <w:rsid w:val="00DC56C6"/>
    <w:rPr>
      <w:color w:val="0000FF"/>
      <w:u w:val="single"/>
    </w:rPr>
  </w:style>
  <w:style w:type="paragraph" w:styleId="Header">
    <w:name w:val="header"/>
    <w:basedOn w:val="Normal"/>
    <w:link w:val="HeaderChar"/>
    <w:uiPriority w:val="99"/>
    <w:unhideWhenUsed/>
    <w:rsid w:val="00DC56C6"/>
    <w:pPr>
      <w:tabs>
        <w:tab w:val="center" w:pos="4153"/>
        <w:tab w:val="right" w:pos="8306"/>
      </w:tabs>
      <w:spacing w:after="0" w:line="240" w:lineRule="auto"/>
    </w:pPr>
  </w:style>
  <w:style w:type="character" w:customStyle="1" w:styleId="HeaderChar">
    <w:name w:val="Header Char"/>
    <w:basedOn w:val="DefaultParagraphFont"/>
    <w:link w:val="Header"/>
    <w:uiPriority w:val="99"/>
    <w:rsid w:val="00DC56C6"/>
  </w:style>
  <w:style w:type="paragraph" w:styleId="Footer">
    <w:name w:val="footer"/>
    <w:basedOn w:val="Normal"/>
    <w:link w:val="FooterChar"/>
    <w:uiPriority w:val="99"/>
    <w:unhideWhenUsed/>
    <w:rsid w:val="00DC56C6"/>
    <w:pPr>
      <w:tabs>
        <w:tab w:val="center" w:pos="4153"/>
        <w:tab w:val="right" w:pos="8306"/>
      </w:tabs>
      <w:spacing w:after="0" w:line="240" w:lineRule="auto"/>
    </w:pPr>
  </w:style>
  <w:style w:type="character" w:customStyle="1" w:styleId="FooterChar">
    <w:name w:val="Footer Char"/>
    <w:basedOn w:val="DefaultParagraphFont"/>
    <w:link w:val="Footer"/>
    <w:uiPriority w:val="99"/>
    <w:rsid w:val="00DC56C6"/>
  </w:style>
  <w:style w:type="paragraph" w:styleId="BalloonText">
    <w:name w:val="Balloon Text"/>
    <w:basedOn w:val="Normal"/>
    <w:link w:val="BalloonTextChar"/>
    <w:uiPriority w:val="99"/>
    <w:semiHidden/>
    <w:unhideWhenUsed/>
    <w:rsid w:val="005464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4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992175">
      <w:bodyDiv w:val="1"/>
      <w:marLeft w:val="0"/>
      <w:marRight w:val="0"/>
      <w:marTop w:val="0"/>
      <w:marBottom w:val="0"/>
      <w:divBdr>
        <w:top w:val="none" w:sz="0" w:space="0" w:color="auto"/>
        <w:left w:val="none" w:sz="0" w:space="0" w:color="auto"/>
        <w:bottom w:val="none" w:sz="0" w:space="0" w:color="auto"/>
        <w:right w:val="none" w:sz="0" w:space="0" w:color="auto"/>
      </w:divBdr>
    </w:div>
    <w:div w:id="185128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ikumi.lv/doc.php?id=88966" TargetMode="External"/><Relationship Id="rId1" Type="http://schemas.openxmlformats.org/officeDocument/2006/relationships/hyperlink" Target="http://likumi.lv/doc.php?id=896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2AEDA-415D-4E23-8304-0EEC44B7F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2552</Words>
  <Characters>1456</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Auniņa</dc:creator>
  <cp:keywords/>
  <dc:description/>
  <cp:lastModifiedBy>Aļesja Boriseviča</cp:lastModifiedBy>
  <cp:revision>45</cp:revision>
  <cp:lastPrinted>2016-11-30T11:12:00Z</cp:lastPrinted>
  <dcterms:created xsi:type="dcterms:W3CDTF">2015-09-23T06:06:00Z</dcterms:created>
  <dcterms:modified xsi:type="dcterms:W3CDTF">2017-08-22T08:55:00Z</dcterms:modified>
</cp:coreProperties>
</file>