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C8DF63" w14:textId="77777777" w:rsidR="00170975" w:rsidRDefault="00170975" w:rsidP="00170975">
      <w:pPr>
        <w:spacing w:after="0" w:line="240" w:lineRule="auto"/>
        <w:contextualSpacing/>
        <w:jc w:val="right"/>
        <w:rPr>
          <w:rFonts w:ascii="Times New Roman" w:hAnsi="Times New Roman" w:cs="Times New Roman"/>
          <w:sz w:val="24"/>
          <w:szCs w:val="24"/>
        </w:rPr>
      </w:pPr>
      <w:r>
        <w:rPr>
          <w:rFonts w:ascii="Times New Roman" w:hAnsi="Times New Roman" w:cs="Times New Roman"/>
          <w:sz w:val="24"/>
          <w:szCs w:val="24"/>
        </w:rPr>
        <w:t>6.pielikums</w:t>
      </w:r>
    </w:p>
    <w:p w14:paraId="3F2C4475" w14:textId="25AA0BE9" w:rsidR="00477C05" w:rsidRPr="00170975" w:rsidRDefault="00477C05" w:rsidP="00477C05">
      <w:pPr>
        <w:spacing w:after="0" w:line="240" w:lineRule="auto"/>
        <w:contextualSpacing/>
        <w:jc w:val="center"/>
        <w:rPr>
          <w:rFonts w:ascii="Times New Roman" w:hAnsi="Times New Roman" w:cs="Times New Roman"/>
          <w:b/>
          <w:sz w:val="24"/>
          <w:szCs w:val="24"/>
        </w:rPr>
      </w:pPr>
      <w:r w:rsidRPr="00E226EB">
        <w:rPr>
          <w:rFonts w:ascii="Times New Roman" w:hAnsi="Times New Roman" w:cs="Times New Roman"/>
          <w:b/>
          <w:sz w:val="24"/>
          <w:szCs w:val="24"/>
        </w:rPr>
        <w:t xml:space="preserve">EK/OLAF IMS </w:t>
      </w:r>
      <w:r>
        <w:rPr>
          <w:rFonts w:ascii="Times New Roman" w:hAnsi="Times New Roman" w:cs="Times New Roman"/>
          <w:b/>
          <w:sz w:val="24"/>
          <w:szCs w:val="24"/>
        </w:rPr>
        <w:t>galvenie darbības principi</w:t>
      </w:r>
      <w:r w:rsidRPr="00E226EB" w:rsidDel="008C69A3">
        <w:rPr>
          <w:rFonts w:ascii="Times New Roman" w:hAnsi="Times New Roman" w:cs="Times New Roman"/>
          <w:b/>
          <w:sz w:val="24"/>
          <w:szCs w:val="24"/>
        </w:rPr>
        <w:t xml:space="preserve"> </w:t>
      </w:r>
    </w:p>
    <w:p w14:paraId="204B1CCA" w14:textId="77777777" w:rsidR="00477C05" w:rsidRPr="00E226EB" w:rsidRDefault="00477C05" w:rsidP="00477C05">
      <w:pPr>
        <w:spacing w:after="0" w:line="240" w:lineRule="auto"/>
        <w:contextualSpacing/>
        <w:jc w:val="both"/>
        <w:rPr>
          <w:rFonts w:ascii="Times New Roman" w:hAnsi="Times New Roman" w:cs="Times New Roman"/>
          <w:sz w:val="24"/>
          <w:szCs w:val="24"/>
        </w:rPr>
      </w:pPr>
    </w:p>
    <w:p w14:paraId="7C9C3484" w14:textId="77777777" w:rsidR="00477C05" w:rsidRDefault="00477C05" w:rsidP="00BC1C92">
      <w:pPr>
        <w:numPr>
          <w:ilvl w:val="0"/>
          <w:numId w:val="1"/>
        </w:numPr>
        <w:spacing w:after="0" w:line="240" w:lineRule="auto"/>
        <w:ind w:left="426" w:hanging="426"/>
        <w:contextualSpacing/>
        <w:jc w:val="both"/>
        <w:rPr>
          <w:rFonts w:ascii="Times New Roman" w:hAnsi="Times New Roman" w:cs="Times New Roman"/>
          <w:sz w:val="24"/>
          <w:szCs w:val="24"/>
        </w:rPr>
      </w:pPr>
      <w:r>
        <w:rPr>
          <w:rFonts w:ascii="Times New Roman" w:hAnsi="Times New Roman" w:cs="Times New Roman"/>
          <w:sz w:val="24"/>
          <w:szCs w:val="24"/>
        </w:rPr>
        <w:t>Neatbilstību ziņojumu sagatavošana notiek caur “pieprasījumiem” (</w:t>
      </w:r>
      <w:proofErr w:type="spellStart"/>
      <w:r w:rsidRPr="00931B40">
        <w:rPr>
          <w:rFonts w:ascii="Times New Roman" w:hAnsi="Times New Roman" w:cs="Times New Roman"/>
          <w:i/>
          <w:sz w:val="24"/>
          <w:szCs w:val="24"/>
        </w:rPr>
        <w:t>request</w:t>
      </w:r>
      <w:proofErr w:type="spellEnd"/>
      <w:r>
        <w:rPr>
          <w:rFonts w:ascii="Times New Roman" w:hAnsi="Times New Roman" w:cs="Times New Roman"/>
          <w:sz w:val="24"/>
          <w:szCs w:val="24"/>
        </w:rPr>
        <w:t>), kuri ir sadalīti šādos veidos:</w:t>
      </w:r>
    </w:p>
    <w:p w14:paraId="0F97A291" w14:textId="77777777" w:rsidR="00477C05" w:rsidRDefault="00477C05" w:rsidP="00B2076F">
      <w:pPr>
        <w:pStyle w:val="ListParagraph"/>
        <w:numPr>
          <w:ilvl w:val="0"/>
          <w:numId w:val="8"/>
        </w:numPr>
        <w:spacing w:after="0" w:line="240" w:lineRule="auto"/>
        <w:ind w:left="1418"/>
        <w:jc w:val="both"/>
        <w:rPr>
          <w:rFonts w:ascii="Times New Roman" w:hAnsi="Times New Roman" w:cs="Times New Roman"/>
          <w:sz w:val="24"/>
          <w:szCs w:val="24"/>
        </w:rPr>
      </w:pPr>
      <w:r>
        <w:rPr>
          <w:rFonts w:ascii="Times New Roman" w:hAnsi="Times New Roman" w:cs="Times New Roman"/>
          <w:sz w:val="24"/>
          <w:szCs w:val="24"/>
        </w:rPr>
        <w:t>Sākotnējais ziņojums (</w:t>
      </w:r>
      <w:proofErr w:type="spellStart"/>
      <w:r w:rsidRPr="00931B40">
        <w:rPr>
          <w:rFonts w:ascii="Times New Roman" w:hAnsi="Times New Roman" w:cs="Times New Roman"/>
          <w:i/>
          <w:sz w:val="24"/>
          <w:szCs w:val="24"/>
        </w:rPr>
        <w:t>Initial</w:t>
      </w:r>
      <w:proofErr w:type="spellEnd"/>
      <w:r w:rsidRPr="00931B40">
        <w:rPr>
          <w:rFonts w:ascii="Times New Roman" w:hAnsi="Times New Roman" w:cs="Times New Roman"/>
          <w:i/>
          <w:sz w:val="24"/>
          <w:szCs w:val="24"/>
        </w:rPr>
        <w:t xml:space="preserve"> </w:t>
      </w:r>
      <w:proofErr w:type="spellStart"/>
      <w:r w:rsidRPr="00931B40">
        <w:rPr>
          <w:rFonts w:ascii="Times New Roman" w:hAnsi="Times New Roman" w:cs="Times New Roman"/>
          <w:i/>
          <w:sz w:val="24"/>
          <w:szCs w:val="24"/>
        </w:rPr>
        <w:t>request</w:t>
      </w:r>
      <w:proofErr w:type="spellEnd"/>
      <w:r>
        <w:rPr>
          <w:rFonts w:ascii="Times New Roman" w:hAnsi="Times New Roman" w:cs="Times New Roman"/>
          <w:sz w:val="24"/>
          <w:szCs w:val="24"/>
        </w:rPr>
        <w:t>);</w:t>
      </w:r>
    </w:p>
    <w:p w14:paraId="47445CD5" w14:textId="77777777" w:rsidR="00477C05" w:rsidRDefault="00477C05" w:rsidP="00B2076F">
      <w:pPr>
        <w:pStyle w:val="ListParagraph"/>
        <w:numPr>
          <w:ilvl w:val="0"/>
          <w:numId w:val="8"/>
        </w:numPr>
        <w:spacing w:after="0" w:line="240" w:lineRule="auto"/>
        <w:ind w:left="1418"/>
        <w:jc w:val="both"/>
        <w:rPr>
          <w:rFonts w:ascii="Times New Roman" w:hAnsi="Times New Roman" w:cs="Times New Roman"/>
          <w:sz w:val="24"/>
          <w:szCs w:val="24"/>
        </w:rPr>
      </w:pPr>
      <w:r>
        <w:rPr>
          <w:rFonts w:ascii="Times New Roman" w:hAnsi="Times New Roman" w:cs="Times New Roman"/>
          <w:sz w:val="24"/>
          <w:szCs w:val="24"/>
        </w:rPr>
        <w:t>Pieprasījums aktualizēt gadījumu (</w:t>
      </w:r>
      <w:proofErr w:type="spellStart"/>
      <w:r w:rsidRPr="00931B40">
        <w:rPr>
          <w:rFonts w:ascii="Times New Roman" w:hAnsi="Times New Roman" w:cs="Times New Roman"/>
          <w:i/>
          <w:sz w:val="24"/>
          <w:szCs w:val="24"/>
        </w:rPr>
        <w:t>Request</w:t>
      </w:r>
      <w:proofErr w:type="spellEnd"/>
      <w:r w:rsidRPr="00931B40">
        <w:rPr>
          <w:rFonts w:ascii="Times New Roman" w:hAnsi="Times New Roman" w:cs="Times New Roman"/>
          <w:i/>
          <w:sz w:val="24"/>
          <w:szCs w:val="24"/>
        </w:rPr>
        <w:t xml:space="preserve"> to </w:t>
      </w:r>
      <w:proofErr w:type="spellStart"/>
      <w:r w:rsidRPr="00931B40">
        <w:rPr>
          <w:rFonts w:ascii="Times New Roman" w:hAnsi="Times New Roman" w:cs="Times New Roman"/>
          <w:i/>
          <w:sz w:val="24"/>
          <w:szCs w:val="24"/>
        </w:rPr>
        <w:t>update</w:t>
      </w:r>
      <w:proofErr w:type="spellEnd"/>
      <w:r w:rsidRPr="00931B40">
        <w:rPr>
          <w:rFonts w:ascii="Times New Roman" w:hAnsi="Times New Roman" w:cs="Times New Roman"/>
          <w:i/>
          <w:sz w:val="24"/>
          <w:szCs w:val="24"/>
        </w:rPr>
        <w:t xml:space="preserve"> a </w:t>
      </w:r>
      <w:proofErr w:type="spellStart"/>
      <w:r w:rsidRPr="00931B40">
        <w:rPr>
          <w:rFonts w:ascii="Times New Roman" w:hAnsi="Times New Roman" w:cs="Times New Roman"/>
          <w:i/>
          <w:sz w:val="24"/>
          <w:szCs w:val="24"/>
        </w:rPr>
        <w:t>case</w:t>
      </w:r>
      <w:proofErr w:type="spellEnd"/>
      <w:r>
        <w:rPr>
          <w:rFonts w:ascii="Times New Roman" w:hAnsi="Times New Roman" w:cs="Times New Roman"/>
          <w:sz w:val="24"/>
          <w:szCs w:val="24"/>
        </w:rPr>
        <w:t>);</w:t>
      </w:r>
    </w:p>
    <w:p w14:paraId="24AA2E26" w14:textId="0EF7D94B" w:rsidR="00477C05" w:rsidRDefault="00477C05" w:rsidP="00B2076F">
      <w:pPr>
        <w:pStyle w:val="ListParagraph"/>
        <w:numPr>
          <w:ilvl w:val="0"/>
          <w:numId w:val="8"/>
        </w:numPr>
        <w:spacing w:after="0" w:line="240" w:lineRule="auto"/>
        <w:ind w:left="1418"/>
        <w:jc w:val="both"/>
        <w:rPr>
          <w:rFonts w:ascii="Times New Roman" w:hAnsi="Times New Roman" w:cs="Times New Roman"/>
          <w:sz w:val="24"/>
          <w:szCs w:val="24"/>
        </w:rPr>
      </w:pPr>
      <w:r>
        <w:rPr>
          <w:rFonts w:ascii="Times New Roman" w:hAnsi="Times New Roman" w:cs="Times New Roman"/>
          <w:sz w:val="24"/>
          <w:szCs w:val="24"/>
        </w:rPr>
        <w:t>Nulles paziņojums</w:t>
      </w:r>
      <w:r w:rsidR="000246D8">
        <w:rPr>
          <w:rStyle w:val="FootnoteReference"/>
          <w:rFonts w:ascii="Times New Roman" w:hAnsi="Times New Roman" w:cs="Times New Roman"/>
          <w:sz w:val="24"/>
          <w:szCs w:val="24"/>
        </w:rPr>
        <w:footnoteReference w:id="1"/>
      </w:r>
      <w:r w:rsidR="000246D8">
        <w:rPr>
          <w:rFonts w:ascii="Times New Roman" w:hAnsi="Times New Roman" w:cs="Times New Roman"/>
          <w:sz w:val="24"/>
          <w:szCs w:val="24"/>
        </w:rPr>
        <w:t xml:space="preserve"> </w:t>
      </w:r>
      <w:r>
        <w:rPr>
          <w:rFonts w:ascii="Times New Roman" w:hAnsi="Times New Roman" w:cs="Times New Roman"/>
          <w:sz w:val="24"/>
          <w:szCs w:val="24"/>
        </w:rPr>
        <w:t>(</w:t>
      </w:r>
      <w:proofErr w:type="spellStart"/>
      <w:r w:rsidRPr="00931B40">
        <w:rPr>
          <w:rFonts w:ascii="Times New Roman" w:hAnsi="Times New Roman" w:cs="Times New Roman"/>
          <w:i/>
          <w:sz w:val="24"/>
          <w:szCs w:val="24"/>
        </w:rPr>
        <w:t>Zero</w:t>
      </w:r>
      <w:proofErr w:type="spellEnd"/>
      <w:r w:rsidRPr="00931B40">
        <w:rPr>
          <w:rFonts w:ascii="Times New Roman" w:hAnsi="Times New Roman" w:cs="Times New Roman"/>
          <w:i/>
          <w:sz w:val="24"/>
          <w:szCs w:val="24"/>
        </w:rPr>
        <w:t xml:space="preserve"> </w:t>
      </w:r>
      <w:proofErr w:type="spellStart"/>
      <w:r w:rsidRPr="00931B40">
        <w:rPr>
          <w:rFonts w:ascii="Times New Roman" w:hAnsi="Times New Roman" w:cs="Times New Roman"/>
          <w:i/>
          <w:sz w:val="24"/>
          <w:szCs w:val="24"/>
        </w:rPr>
        <w:t>notification</w:t>
      </w:r>
      <w:proofErr w:type="spellEnd"/>
      <w:r w:rsidRPr="000C277C">
        <w:rPr>
          <w:rFonts w:ascii="Times New Roman" w:hAnsi="Times New Roman" w:cs="Times New Roman"/>
          <w:sz w:val="24"/>
          <w:szCs w:val="24"/>
        </w:rPr>
        <w:t>)</w:t>
      </w:r>
      <w:r>
        <w:rPr>
          <w:rFonts w:ascii="Times New Roman" w:hAnsi="Times New Roman" w:cs="Times New Roman"/>
          <w:sz w:val="24"/>
          <w:szCs w:val="24"/>
        </w:rPr>
        <w:t>;</w:t>
      </w:r>
    </w:p>
    <w:p w14:paraId="2FB92852" w14:textId="20E9415C" w:rsidR="00477C05" w:rsidRDefault="00477C05" w:rsidP="00B2076F">
      <w:pPr>
        <w:pStyle w:val="ListParagraph"/>
        <w:numPr>
          <w:ilvl w:val="0"/>
          <w:numId w:val="8"/>
        </w:numPr>
        <w:spacing w:after="0" w:line="240" w:lineRule="auto"/>
        <w:ind w:left="1418"/>
        <w:jc w:val="both"/>
        <w:rPr>
          <w:rFonts w:ascii="Times New Roman" w:hAnsi="Times New Roman" w:cs="Times New Roman"/>
          <w:sz w:val="24"/>
          <w:szCs w:val="24"/>
        </w:rPr>
      </w:pPr>
      <w:r>
        <w:rPr>
          <w:rFonts w:ascii="Times New Roman" w:hAnsi="Times New Roman" w:cs="Times New Roman"/>
          <w:sz w:val="24"/>
          <w:szCs w:val="24"/>
        </w:rPr>
        <w:t>Pieprasījums dzēst</w:t>
      </w:r>
      <w:r w:rsidR="00FB1507">
        <w:rPr>
          <w:rFonts w:ascii="Times New Roman" w:hAnsi="Times New Roman" w:cs="Times New Roman"/>
          <w:sz w:val="24"/>
          <w:szCs w:val="24"/>
        </w:rPr>
        <w:t>/anulēt</w:t>
      </w:r>
      <w:r>
        <w:rPr>
          <w:rFonts w:ascii="Times New Roman" w:hAnsi="Times New Roman" w:cs="Times New Roman"/>
          <w:sz w:val="24"/>
          <w:szCs w:val="24"/>
        </w:rPr>
        <w:t xml:space="preserve"> gadījumu (</w:t>
      </w:r>
      <w:proofErr w:type="spellStart"/>
      <w:r w:rsidRPr="00931B40">
        <w:rPr>
          <w:rFonts w:ascii="Times New Roman" w:hAnsi="Times New Roman" w:cs="Times New Roman"/>
          <w:i/>
          <w:sz w:val="24"/>
          <w:szCs w:val="24"/>
        </w:rPr>
        <w:t>Request</w:t>
      </w:r>
      <w:proofErr w:type="spellEnd"/>
      <w:r w:rsidRPr="00931B40">
        <w:rPr>
          <w:rFonts w:ascii="Times New Roman" w:hAnsi="Times New Roman" w:cs="Times New Roman"/>
          <w:i/>
          <w:sz w:val="24"/>
          <w:szCs w:val="24"/>
        </w:rPr>
        <w:t xml:space="preserve"> to </w:t>
      </w:r>
      <w:proofErr w:type="spellStart"/>
      <w:r w:rsidR="00977A60">
        <w:rPr>
          <w:rFonts w:ascii="Times New Roman" w:hAnsi="Times New Roman" w:cs="Times New Roman"/>
          <w:i/>
          <w:sz w:val="24"/>
          <w:szCs w:val="24"/>
        </w:rPr>
        <w:t>c</w:t>
      </w:r>
      <w:r w:rsidRPr="00931B40">
        <w:rPr>
          <w:rFonts w:ascii="Times New Roman" w:hAnsi="Times New Roman" w:cs="Times New Roman"/>
          <w:i/>
          <w:sz w:val="24"/>
          <w:szCs w:val="24"/>
        </w:rPr>
        <w:t>ancel</w:t>
      </w:r>
      <w:proofErr w:type="spellEnd"/>
      <w:r w:rsidRPr="00931B40">
        <w:rPr>
          <w:rFonts w:ascii="Times New Roman" w:hAnsi="Times New Roman" w:cs="Times New Roman"/>
          <w:i/>
          <w:sz w:val="24"/>
          <w:szCs w:val="24"/>
        </w:rPr>
        <w:t xml:space="preserve"> a </w:t>
      </w:r>
      <w:proofErr w:type="spellStart"/>
      <w:r w:rsidR="00977A60">
        <w:rPr>
          <w:rFonts w:ascii="Times New Roman" w:hAnsi="Times New Roman" w:cs="Times New Roman"/>
          <w:i/>
          <w:sz w:val="24"/>
          <w:szCs w:val="24"/>
        </w:rPr>
        <w:t>c</w:t>
      </w:r>
      <w:r w:rsidRPr="00931B40">
        <w:rPr>
          <w:rFonts w:ascii="Times New Roman" w:hAnsi="Times New Roman" w:cs="Times New Roman"/>
          <w:i/>
          <w:sz w:val="24"/>
          <w:szCs w:val="24"/>
        </w:rPr>
        <w:t>ase</w:t>
      </w:r>
      <w:proofErr w:type="spellEnd"/>
      <w:r>
        <w:rPr>
          <w:rFonts w:ascii="Times New Roman" w:hAnsi="Times New Roman" w:cs="Times New Roman"/>
          <w:sz w:val="24"/>
          <w:szCs w:val="24"/>
        </w:rPr>
        <w:t>);</w:t>
      </w:r>
    </w:p>
    <w:p w14:paraId="6D4C9453" w14:textId="77777777" w:rsidR="00477C05" w:rsidRPr="000C277C" w:rsidRDefault="00477C05" w:rsidP="00B2076F">
      <w:pPr>
        <w:pStyle w:val="ListParagraph"/>
        <w:numPr>
          <w:ilvl w:val="0"/>
          <w:numId w:val="8"/>
        </w:numPr>
        <w:spacing w:after="0" w:line="240" w:lineRule="auto"/>
        <w:ind w:left="1418"/>
        <w:jc w:val="both"/>
        <w:rPr>
          <w:rFonts w:ascii="Times New Roman" w:hAnsi="Times New Roman" w:cs="Times New Roman"/>
          <w:sz w:val="24"/>
          <w:szCs w:val="24"/>
        </w:rPr>
      </w:pPr>
      <w:r>
        <w:rPr>
          <w:rFonts w:ascii="Times New Roman" w:hAnsi="Times New Roman" w:cs="Times New Roman"/>
          <w:sz w:val="24"/>
          <w:szCs w:val="24"/>
        </w:rPr>
        <w:t>Pieprasījums slēgt gadījumu (</w:t>
      </w:r>
      <w:proofErr w:type="spellStart"/>
      <w:r w:rsidRPr="00931B40">
        <w:rPr>
          <w:rFonts w:ascii="Times New Roman" w:hAnsi="Times New Roman" w:cs="Times New Roman"/>
          <w:i/>
          <w:sz w:val="24"/>
          <w:szCs w:val="24"/>
        </w:rPr>
        <w:t>Request</w:t>
      </w:r>
      <w:proofErr w:type="spellEnd"/>
      <w:r w:rsidRPr="00931B40">
        <w:rPr>
          <w:rFonts w:ascii="Times New Roman" w:hAnsi="Times New Roman" w:cs="Times New Roman"/>
          <w:i/>
          <w:sz w:val="24"/>
          <w:szCs w:val="24"/>
        </w:rPr>
        <w:t xml:space="preserve"> to </w:t>
      </w:r>
      <w:proofErr w:type="spellStart"/>
      <w:r w:rsidRPr="00931B40">
        <w:rPr>
          <w:rFonts w:ascii="Times New Roman" w:hAnsi="Times New Roman" w:cs="Times New Roman"/>
          <w:i/>
          <w:sz w:val="24"/>
          <w:szCs w:val="24"/>
        </w:rPr>
        <w:t>close</w:t>
      </w:r>
      <w:proofErr w:type="spellEnd"/>
      <w:r w:rsidRPr="00931B40">
        <w:rPr>
          <w:rFonts w:ascii="Times New Roman" w:hAnsi="Times New Roman" w:cs="Times New Roman"/>
          <w:i/>
          <w:sz w:val="24"/>
          <w:szCs w:val="24"/>
        </w:rPr>
        <w:t xml:space="preserve"> a </w:t>
      </w:r>
      <w:proofErr w:type="spellStart"/>
      <w:r w:rsidRPr="00931B40">
        <w:rPr>
          <w:rFonts w:ascii="Times New Roman" w:hAnsi="Times New Roman" w:cs="Times New Roman"/>
          <w:i/>
          <w:sz w:val="24"/>
          <w:szCs w:val="24"/>
        </w:rPr>
        <w:t>case</w:t>
      </w:r>
      <w:proofErr w:type="spellEnd"/>
      <w:r>
        <w:rPr>
          <w:rFonts w:ascii="Times New Roman" w:hAnsi="Times New Roman" w:cs="Times New Roman"/>
          <w:sz w:val="24"/>
          <w:szCs w:val="24"/>
        </w:rPr>
        <w:t>);</w:t>
      </w:r>
    </w:p>
    <w:p w14:paraId="2DE31962" w14:textId="77777777" w:rsidR="00477C05" w:rsidRPr="00931B40" w:rsidRDefault="00477C05" w:rsidP="00B2076F">
      <w:pPr>
        <w:pStyle w:val="ListParagraph"/>
        <w:numPr>
          <w:ilvl w:val="0"/>
          <w:numId w:val="8"/>
        </w:numPr>
        <w:spacing w:after="0" w:line="240" w:lineRule="auto"/>
        <w:ind w:left="1418"/>
        <w:jc w:val="both"/>
        <w:rPr>
          <w:rFonts w:ascii="Times New Roman" w:hAnsi="Times New Roman" w:cs="Times New Roman"/>
          <w:sz w:val="24"/>
          <w:szCs w:val="24"/>
        </w:rPr>
      </w:pPr>
      <w:r>
        <w:rPr>
          <w:rFonts w:ascii="Times New Roman" w:hAnsi="Times New Roman" w:cs="Times New Roman"/>
          <w:sz w:val="24"/>
          <w:szCs w:val="24"/>
        </w:rPr>
        <w:t>Sākotnējais ziņojums – slēgts gadījums (</w:t>
      </w:r>
      <w:proofErr w:type="spellStart"/>
      <w:r w:rsidRPr="00931B40">
        <w:rPr>
          <w:rFonts w:ascii="Times New Roman" w:hAnsi="Times New Roman" w:cs="Times New Roman"/>
          <w:i/>
          <w:sz w:val="24"/>
          <w:szCs w:val="24"/>
        </w:rPr>
        <w:t>Initial</w:t>
      </w:r>
      <w:proofErr w:type="spellEnd"/>
      <w:r w:rsidRPr="00931B40">
        <w:rPr>
          <w:rFonts w:ascii="Times New Roman" w:hAnsi="Times New Roman" w:cs="Times New Roman"/>
          <w:i/>
          <w:sz w:val="24"/>
          <w:szCs w:val="24"/>
        </w:rPr>
        <w:t xml:space="preserve"> </w:t>
      </w:r>
      <w:proofErr w:type="spellStart"/>
      <w:r w:rsidRPr="00931B40">
        <w:rPr>
          <w:rFonts w:ascii="Times New Roman" w:hAnsi="Times New Roman" w:cs="Times New Roman"/>
          <w:i/>
          <w:sz w:val="24"/>
          <w:szCs w:val="24"/>
        </w:rPr>
        <w:t>request</w:t>
      </w:r>
      <w:proofErr w:type="spellEnd"/>
      <w:r w:rsidRPr="00931B40">
        <w:rPr>
          <w:rFonts w:ascii="Times New Roman" w:hAnsi="Times New Roman" w:cs="Times New Roman"/>
          <w:i/>
          <w:sz w:val="24"/>
          <w:szCs w:val="24"/>
        </w:rPr>
        <w:t xml:space="preserve"> – </w:t>
      </w:r>
      <w:proofErr w:type="spellStart"/>
      <w:r w:rsidRPr="00931B40">
        <w:rPr>
          <w:rFonts w:ascii="Times New Roman" w:hAnsi="Times New Roman" w:cs="Times New Roman"/>
          <w:i/>
          <w:sz w:val="24"/>
          <w:szCs w:val="24"/>
        </w:rPr>
        <w:t>closed</w:t>
      </w:r>
      <w:proofErr w:type="spellEnd"/>
      <w:r w:rsidRPr="00931B40">
        <w:rPr>
          <w:rFonts w:ascii="Times New Roman" w:hAnsi="Times New Roman" w:cs="Times New Roman"/>
          <w:i/>
          <w:sz w:val="24"/>
          <w:szCs w:val="24"/>
        </w:rPr>
        <w:t xml:space="preserve"> </w:t>
      </w:r>
      <w:proofErr w:type="spellStart"/>
      <w:r w:rsidRPr="00931B40">
        <w:rPr>
          <w:rFonts w:ascii="Times New Roman" w:hAnsi="Times New Roman" w:cs="Times New Roman"/>
          <w:i/>
          <w:sz w:val="24"/>
          <w:szCs w:val="24"/>
        </w:rPr>
        <w:t>case</w:t>
      </w:r>
      <w:proofErr w:type="spellEnd"/>
      <w:r w:rsidRPr="00931B40">
        <w:rPr>
          <w:rFonts w:ascii="Times New Roman" w:hAnsi="Times New Roman" w:cs="Times New Roman"/>
          <w:sz w:val="24"/>
          <w:szCs w:val="24"/>
        </w:rPr>
        <w:t xml:space="preserve"> (</w:t>
      </w:r>
      <w:proofErr w:type="spellStart"/>
      <w:r w:rsidRPr="00931B40">
        <w:rPr>
          <w:rFonts w:ascii="Times New Roman" w:hAnsi="Times New Roman" w:cs="Times New Roman"/>
          <w:i/>
          <w:sz w:val="24"/>
          <w:szCs w:val="24"/>
        </w:rPr>
        <w:t>create</w:t>
      </w:r>
      <w:proofErr w:type="spellEnd"/>
      <w:r w:rsidRPr="00931B40">
        <w:rPr>
          <w:rFonts w:ascii="Times New Roman" w:hAnsi="Times New Roman" w:cs="Times New Roman"/>
          <w:i/>
          <w:sz w:val="24"/>
          <w:szCs w:val="24"/>
        </w:rPr>
        <w:t xml:space="preserve"> a </w:t>
      </w:r>
      <w:proofErr w:type="spellStart"/>
      <w:r w:rsidRPr="00931B40">
        <w:rPr>
          <w:rFonts w:ascii="Times New Roman" w:hAnsi="Times New Roman" w:cs="Times New Roman"/>
          <w:i/>
          <w:sz w:val="24"/>
          <w:szCs w:val="24"/>
        </w:rPr>
        <w:t>case</w:t>
      </w:r>
      <w:proofErr w:type="spellEnd"/>
      <w:r w:rsidRPr="00931B40">
        <w:rPr>
          <w:rFonts w:ascii="Times New Roman" w:hAnsi="Times New Roman" w:cs="Times New Roman"/>
          <w:i/>
          <w:sz w:val="24"/>
          <w:szCs w:val="24"/>
        </w:rPr>
        <w:t xml:space="preserve"> </w:t>
      </w:r>
      <w:proofErr w:type="spellStart"/>
      <w:r w:rsidRPr="00931B40">
        <w:rPr>
          <w:rFonts w:ascii="Times New Roman" w:hAnsi="Times New Roman" w:cs="Times New Roman"/>
          <w:i/>
          <w:sz w:val="24"/>
          <w:szCs w:val="24"/>
        </w:rPr>
        <w:t>that</w:t>
      </w:r>
      <w:proofErr w:type="spellEnd"/>
      <w:r w:rsidRPr="00931B40">
        <w:rPr>
          <w:rFonts w:ascii="Times New Roman" w:hAnsi="Times New Roman" w:cs="Times New Roman"/>
          <w:i/>
          <w:sz w:val="24"/>
          <w:szCs w:val="24"/>
        </w:rPr>
        <w:t xml:space="preserve"> </w:t>
      </w:r>
      <w:proofErr w:type="spellStart"/>
      <w:r w:rsidRPr="00931B40">
        <w:rPr>
          <w:rFonts w:ascii="Times New Roman" w:hAnsi="Times New Roman" w:cs="Times New Roman"/>
          <w:i/>
          <w:sz w:val="24"/>
          <w:szCs w:val="24"/>
        </w:rPr>
        <w:t>is</w:t>
      </w:r>
      <w:proofErr w:type="spellEnd"/>
      <w:r w:rsidRPr="00931B40">
        <w:rPr>
          <w:rFonts w:ascii="Times New Roman" w:hAnsi="Times New Roman" w:cs="Times New Roman"/>
          <w:i/>
          <w:sz w:val="24"/>
          <w:szCs w:val="24"/>
        </w:rPr>
        <w:t xml:space="preserve"> </w:t>
      </w:r>
      <w:proofErr w:type="spellStart"/>
      <w:r w:rsidRPr="00931B40">
        <w:rPr>
          <w:rFonts w:ascii="Times New Roman" w:hAnsi="Times New Roman" w:cs="Times New Roman"/>
          <w:i/>
          <w:sz w:val="24"/>
          <w:szCs w:val="24"/>
        </w:rPr>
        <w:t>already</w:t>
      </w:r>
      <w:proofErr w:type="spellEnd"/>
      <w:r w:rsidRPr="00931B40">
        <w:rPr>
          <w:rFonts w:ascii="Times New Roman" w:hAnsi="Times New Roman" w:cs="Times New Roman"/>
          <w:i/>
          <w:sz w:val="24"/>
          <w:szCs w:val="24"/>
        </w:rPr>
        <w:t xml:space="preserve"> </w:t>
      </w:r>
      <w:proofErr w:type="spellStart"/>
      <w:r w:rsidRPr="00931B40">
        <w:rPr>
          <w:rFonts w:ascii="Times New Roman" w:hAnsi="Times New Roman" w:cs="Times New Roman"/>
          <w:i/>
          <w:sz w:val="24"/>
          <w:szCs w:val="24"/>
        </w:rPr>
        <w:t>closed</w:t>
      </w:r>
      <w:proofErr w:type="spellEnd"/>
      <w:r w:rsidRPr="00931B40">
        <w:rPr>
          <w:rFonts w:ascii="Times New Roman" w:hAnsi="Times New Roman" w:cs="Times New Roman"/>
          <w:sz w:val="24"/>
          <w:szCs w:val="24"/>
        </w:rPr>
        <w:t>)</w:t>
      </w:r>
      <w:r>
        <w:rPr>
          <w:rFonts w:ascii="Times New Roman" w:hAnsi="Times New Roman" w:cs="Times New Roman"/>
          <w:sz w:val="24"/>
          <w:szCs w:val="24"/>
        </w:rPr>
        <w:t>);</w:t>
      </w:r>
    </w:p>
    <w:p w14:paraId="7C51875C" w14:textId="272340E1" w:rsidR="00477C05" w:rsidRPr="000C277C" w:rsidRDefault="00477C05" w:rsidP="00B2076F">
      <w:pPr>
        <w:pStyle w:val="ListParagraph"/>
        <w:numPr>
          <w:ilvl w:val="0"/>
          <w:numId w:val="8"/>
        </w:numPr>
        <w:spacing w:after="0" w:line="240" w:lineRule="auto"/>
        <w:ind w:left="1418"/>
        <w:jc w:val="both"/>
        <w:rPr>
          <w:rFonts w:ascii="Times New Roman" w:hAnsi="Times New Roman" w:cs="Times New Roman"/>
          <w:sz w:val="24"/>
          <w:szCs w:val="24"/>
        </w:rPr>
      </w:pPr>
      <w:r>
        <w:rPr>
          <w:rFonts w:ascii="Times New Roman" w:hAnsi="Times New Roman" w:cs="Times New Roman"/>
          <w:sz w:val="24"/>
          <w:szCs w:val="24"/>
        </w:rPr>
        <w:t>Pieprasījums atkāroti atvērt gadījumu (</w:t>
      </w:r>
      <w:proofErr w:type="spellStart"/>
      <w:r w:rsidRPr="00931B40">
        <w:rPr>
          <w:rFonts w:ascii="Times New Roman" w:hAnsi="Times New Roman" w:cs="Times New Roman"/>
          <w:i/>
          <w:sz w:val="24"/>
          <w:szCs w:val="24"/>
        </w:rPr>
        <w:t>Request</w:t>
      </w:r>
      <w:proofErr w:type="spellEnd"/>
      <w:r w:rsidRPr="00931B40">
        <w:rPr>
          <w:rFonts w:ascii="Times New Roman" w:hAnsi="Times New Roman" w:cs="Times New Roman"/>
          <w:i/>
          <w:sz w:val="24"/>
          <w:szCs w:val="24"/>
        </w:rPr>
        <w:t xml:space="preserve"> to </w:t>
      </w:r>
      <w:proofErr w:type="spellStart"/>
      <w:r w:rsidRPr="00931B40">
        <w:rPr>
          <w:rFonts w:ascii="Times New Roman" w:hAnsi="Times New Roman" w:cs="Times New Roman"/>
          <w:i/>
          <w:sz w:val="24"/>
          <w:szCs w:val="24"/>
        </w:rPr>
        <w:t>reopen</w:t>
      </w:r>
      <w:proofErr w:type="spellEnd"/>
      <w:r w:rsidRPr="00931B40">
        <w:rPr>
          <w:rFonts w:ascii="Times New Roman" w:hAnsi="Times New Roman" w:cs="Times New Roman"/>
          <w:i/>
          <w:sz w:val="24"/>
          <w:szCs w:val="24"/>
        </w:rPr>
        <w:t xml:space="preserve"> a </w:t>
      </w:r>
      <w:proofErr w:type="spellStart"/>
      <w:r w:rsidRPr="00931B40">
        <w:rPr>
          <w:rFonts w:ascii="Times New Roman" w:hAnsi="Times New Roman" w:cs="Times New Roman"/>
          <w:i/>
          <w:sz w:val="24"/>
          <w:szCs w:val="24"/>
        </w:rPr>
        <w:t>case</w:t>
      </w:r>
      <w:proofErr w:type="spellEnd"/>
      <w:r>
        <w:rPr>
          <w:rFonts w:ascii="Times New Roman" w:hAnsi="Times New Roman" w:cs="Times New Roman"/>
          <w:sz w:val="24"/>
          <w:szCs w:val="24"/>
        </w:rPr>
        <w:t>)</w:t>
      </w:r>
      <w:r w:rsidR="00DB4055">
        <w:rPr>
          <w:rFonts w:ascii="Times New Roman" w:hAnsi="Times New Roman" w:cs="Times New Roman"/>
          <w:sz w:val="24"/>
          <w:szCs w:val="24"/>
        </w:rPr>
        <w:t>;</w:t>
      </w:r>
      <w:r>
        <w:rPr>
          <w:rFonts w:ascii="Times New Roman" w:hAnsi="Times New Roman" w:cs="Times New Roman"/>
          <w:sz w:val="24"/>
          <w:szCs w:val="24"/>
        </w:rPr>
        <w:t xml:space="preserve"> </w:t>
      </w:r>
    </w:p>
    <w:p w14:paraId="5EC2CE8E" w14:textId="37F7F5A3" w:rsidR="00477C05" w:rsidRPr="000C277C" w:rsidRDefault="00477C05" w:rsidP="00B2076F">
      <w:pPr>
        <w:pStyle w:val="ListParagraph"/>
        <w:numPr>
          <w:ilvl w:val="0"/>
          <w:numId w:val="8"/>
        </w:numPr>
        <w:spacing w:after="0" w:line="240" w:lineRule="auto"/>
        <w:ind w:left="1418"/>
        <w:jc w:val="both"/>
        <w:rPr>
          <w:rFonts w:ascii="Times New Roman" w:hAnsi="Times New Roman" w:cs="Times New Roman"/>
          <w:sz w:val="24"/>
          <w:szCs w:val="24"/>
        </w:rPr>
      </w:pPr>
      <w:r>
        <w:rPr>
          <w:rFonts w:ascii="Times New Roman" w:hAnsi="Times New Roman" w:cs="Times New Roman"/>
          <w:sz w:val="24"/>
          <w:szCs w:val="24"/>
        </w:rPr>
        <w:t>Pieprasījums grozīt gadījumu (</w:t>
      </w:r>
      <w:proofErr w:type="spellStart"/>
      <w:r w:rsidRPr="00931B40">
        <w:rPr>
          <w:rFonts w:ascii="Times New Roman" w:hAnsi="Times New Roman" w:cs="Times New Roman"/>
          <w:i/>
          <w:sz w:val="24"/>
          <w:szCs w:val="24"/>
        </w:rPr>
        <w:t>Request</w:t>
      </w:r>
      <w:proofErr w:type="spellEnd"/>
      <w:r w:rsidRPr="00931B40">
        <w:rPr>
          <w:rFonts w:ascii="Times New Roman" w:hAnsi="Times New Roman" w:cs="Times New Roman"/>
          <w:i/>
          <w:sz w:val="24"/>
          <w:szCs w:val="24"/>
        </w:rPr>
        <w:t xml:space="preserve"> to </w:t>
      </w:r>
      <w:proofErr w:type="spellStart"/>
      <w:r w:rsidRPr="00931B40">
        <w:rPr>
          <w:rFonts w:ascii="Times New Roman" w:hAnsi="Times New Roman" w:cs="Times New Roman"/>
          <w:i/>
          <w:sz w:val="24"/>
          <w:szCs w:val="24"/>
        </w:rPr>
        <w:t>amend</w:t>
      </w:r>
      <w:proofErr w:type="spellEnd"/>
      <w:r w:rsidRPr="00931B40">
        <w:rPr>
          <w:rFonts w:ascii="Times New Roman" w:hAnsi="Times New Roman" w:cs="Times New Roman"/>
          <w:i/>
          <w:sz w:val="24"/>
          <w:szCs w:val="24"/>
        </w:rPr>
        <w:t xml:space="preserve"> a </w:t>
      </w:r>
      <w:proofErr w:type="spellStart"/>
      <w:r w:rsidRPr="00931B40">
        <w:rPr>
          <w:rFonts w:ascii="Times New Roman" w:hAnsi="Times New Roman" w:cs="Times New Roman"/>
          <w:i/>
          <w:sz w:val="24"/>
          <w:szCs w:val="24"/>
        </w:rPr>
        <w:t>case</w:t>
      </w:r>
      <w:proofErr w:type="spellEnd"/>
      <w:r w:rsidR="00DB4055">
        <w:rPr>
          <w:rFonts w:ascii="Times New Roman" w:hAnsi="Times New Roman" w:cs="Times New Roman"/>
          <w:sz w:val="24"/>
          <w:szCs w:val="24"/>
        </w:rPr>
        <w:t>);</w:t>
      </w:r>
    </w:p>
    <w:p w14:paraId="727AFA6B" w14:textId="77777777" w:rsidR="00477C05" w:rsidRPr="000C277C" w:rsidRDefault="00477C05" w:rsidP="00B2076F">
      <w:pPr>
        <w:pStyle w:val="ListParagraph"/>
        <w:numPr>
          <w:ilvl w:val="0"/>
          <w:numId w:val="8"/>
        </w:numPr>
        <w:spacing w:after="0" w:line="240" w:lineRule="auto"/>
        <w:ind w:left="1418"/>
        <w:jc w:val="both"/>
        <w:rPr>
          <w:rFonts w:ascii="Times New Roman" w:hAnsi="Times New Roman" w:cs="Times New Roman"/>
          <w:sz w:val="24"/>
          <w:szCs w:val="24"/>
        </w:rPr>
      </w:pPr>
      <w:r>
        <w:rPr>
          <w:rFonts w:ascii="Times New Roman" w:hAnsi="Times New Roman" w:cs="Times New Roman"/>
          <w:sz w:val="24"/>
          <w:szCs w:val="24"/>
        </w:rPr>
        <w:t>Pieprasījums padarīt gadījumu par</w:t>
      </w:r>
      <w:r w:rsidRPr="00A767E7">
        <w:rPr>
          <w:rFonts w:ascii="Times New Roman" w:hAnsi="Times New Roman" w:cs="Times New Roman"/>
          <w:sz w:val="24"/>
          <w:szCs w:val="24"/>
        </w:rPr>
        <w:t xml:space="preserve"> anonīm</w:t>
      </w:r>
      <w:r>
        <w:rPr>
          <w:rFonts w:ascii="Times New Roman" w:hAnsi="Times New Roman" w:cs="Times New Roman"/>
          <w:sz w:val="24"/>
          <w:szCs w:val="24"/>
        </w:rPr>
        <w:t>u (</w:t>
      </w:r>
      <w:proofErr w:type="spellStart"/>
      <w:r w:rsidRPr="00931B40">
        <w:rPr>
          <w:rFonts w:ascii="Times New Roman" w:hAnsi="Times New Roman" w:cs="Times New Roman"/>
          <w:i/>
          <w:sz w:val="24"/>
          <w:szCs w:val="24"/>
        </w:rPr>
        <w:t>Request</w:t>
      </w:r>
      <w:proofErr w:type="spellEnd"/>
      <w:r w:rsidRPr="00931B40">
        <w:rPr>
          <w:rFonts w:ascii="Times New Roman" w:hAnsi="Times New Roman" w:cs="Times New Roman"/>
          <w:i/>
          <w:sz w:val="24"/>
          <w:szCs w:val="24"/>
        </w:rPr>
        <w:t xml:space="preserve"> to </w:t>
      </w:r>
      <w:proofErr w:type="spellStart"/>
      <w:r w:rsidRPr="00931B40">
        <w:rPr>
          <w:rFonts w:ascii="Times New Roman" w:hAnsi="Times New Roman" w:cs="Times New Roman"/>
          <w:i/>
          <w:sz w:val="24"/>
          <w:szCs w:val="24"/>
        </w:rPr>
        <w:t>anonymise</w:t>
      </w:r>
      <w:proofErr w:type="spellEnd"/>
      <w:r w:rsidRPr="00931B40">
        <w:rPr>
          <w:rFonts w:ascii="Times New Roman" w:hAnsi="Times New Roman" w:cs="Times New Roman"/>
          <w:i/>
          <w:sz w:val="24"/>
          <w:szCs w:val="24"/>
        </w:rPr>
        <w:t xml:space="preserve"> a </w:t>
      </w:r>
      <w:proofErr w:type="spellStart"/>
      <w:r w:rsidRPr="00931B40">
        <w:rPr>
          <w:rFonts w:ascii="Times New Roman" w:hAnsi="Times New Roman" w:cs="Times New Roman"/>
          <w:i/>
          <w:sz w:val="24"/>
          <w:szCs w:val="24"/>
        </w:rPr>
        <w:t>case</w:t>
      </w:r>
      <w:proofErr w:type="spellEnd"/>
      <w:r>
        <w:rPr>
          <w:rFonts w:ascii="Times New Roman" w:hAnsi="Times New Roman" w:cs="Times New Roman"/>
          <w:sz w:val="24"/>
          <w:szCs w:val="24"/>
        </w:rPr>
        <w:t>).</w:t>
      </w:r>
    </w:p>
    <w:p w14:paraId="72E5DD18" w14:textId="77777777" w:rsidR="00477C05" w:rsidRDefault="00477C05" w:rsidP="00477C05">
      <w:pPr>
        <w:pStyle w:val="ListParagraph"/>
        <w:spacing w:after="0" w:line="240" w:lineRule="auto"/>
        <w:ind w:left="2278"/>
        <w:jc w:val="both"/>
        <w:rPr>
          <w:rFonts w:ascii="Times New Roman" w:hAnsi="Times New Roman" w:cs="Times New Roman"/>
          <w:sz w:val="24"/>
          <w:szCs w:val="24"/>
        </w:rPr>
      </w:pPr>
    </w:p>
    <w:p w14:paraId="775FD63B" w14:textId="77777777" w:rsidR="00477C05" w:rsidRPr="00E226EB" w:rsidRDefault="00477C05" w:rsidP="00B2076F">
      <w:pPr>
        <w:numPr>
          <w:ilvl w:val="0"/>
          <w:numId w:val="1"/>
        </w:numPr>
        <w:spacing w:after="0" w:line="240" w:lineRule="auto"/>
        <w:ind w:left="426" w:hanging="426"/>
        <w:contextualSpacing/>
        <w:jc w:val="both"/>
        <w:rPr>
          <w:rFonts w:ascii="Times New Roman" w:hAnsi="Times New Roman" w:cs="Times New Roman"/>
          <w:sz w:val="24"/>
          <w:szCs w:val="24"/>
        </w:rPr>
      </w:pPr>
      <w:r w:rsidRPr="00E226EB">
        <w:rPr>
          <w:rFonts w:ascii="Times New Roman" w:hAnsi="Times New Roman" w:cs="Times New Roman"/>
          <w:sz w:val="24"/>
          <w:szCs w:val="24"/>
        </w:rPr>
        <w:t xml:space="preserve">Sadaļā „Identifikācija”: </w:t>
      </w:r>
    </w:p>
    <w:p w14:paraId="32AA80A8" w14:textId="3DA920DA" w:rsidR="00477C05" w:rsidRPr="00900042" w:rsidRDefault="00477C05" w:rsidP="00477C05">
      <w:pPr>
        <w:pStyle w:val="ListParagraph"/>
        <w:numPr>
          <w:ilvl w:val="1"/>
          <w:numId w:val="1"/>
        </w:numPr>
        <w:tabs>
          <w:tab w:val="clear" w:pos="794"/>
        </w:tabs>
        <w:spacing w:after="120" w:line="240" w:lineRule="auto"/>
        <w:ind w:left="1134"/>
        <w:jc w:val="both"/>
        <w:rPr>
          <w:rFonts w:ascii="Times New Roman" w:eastAsia="Calibri" w:hAnsi="Times New Roman" w:cs="Times New Roman"/>
          <w:sz w:val="24"/>
          <w:szCs w:val="24"/>
        </w:rPr>
      </w:pPr>
      <w:r w:rsidRPr="00900042">
        <w:rPr>
          <w:rFonts w:ascii="Times New Roman" w:eastAsia="Calibri" w:hAnsi="Times New Roman" w:cs="Times New Roman"/>
          <w:sz w:val="24"/>
          <w:szCs w:val="24"/>
        </w:rPr>
        <w:t>Lauks “Atsauces numurs – OLAF” tiek veidots</w:t>
      </w:r>
      <w:r w:rsidR="00DB4055">
        <w:rPr>
          <w:rFonts w:ascii="Times New Roman" w:eastAsia="Calibri" w:hAnsi="Times New Roman" w:cs="Times New Roman"/>
          <w:sz w:val="24"/>
          <w:szCs w:val="24"/>
        </w:rPr>
        <w:t xml:space="preserve"> automātiski</w:t>
      </w:r>
      <w:r w:rsidRPr="00900042">
        <w:rPr>
          <w:rFonts w:ascii="Times New Roman" w:eastAsia="Calibri" w:hAnsi="Times New Roman" w:cs="Times New Roman"/>
          <w:sz w:val="24"/>
          <w:szCs w:val="24"/>
        </w:rPr>
        <w:t xml:space="preserve">, pamatojoties uz laukos </w:t>
      </w:r>
      <w:r>
        <w:rPr>
          <w:rFonts w:ascii="Times New Roman" w:eastAsia="Calibri" w:hAnsi="Times New Roman" w:cs="Times New Roman"/>
          <w:sz w:val="24"/>
          <w:szCs w:val="24"/>
        </w:rPr>
        <w:t>Nr.</w:t>
      </w:r>
      <w:r w:rsidRPr="00900042">
        <w:rPr>
          <w:rFonts w:ascii="Times New Roman" w:eastAsia="Calibri" w:hAnsi="Times New Roman" w:cs="Times New Roman"/>
          <w:sz w:val="24"/>
          <w:szCs w:val="24"/>
        </w:rPr>
        <w:t>1.1</w:t>
      </w:r>
      <w:r w:rsidR="0066299F">
        <w:rPr>
          <w:rFonts w:ascii="Times New Roman" w:eastAsia="Calibri" w:hAnsi="Times New Roman" w:cs="Times New Roman"/>
          <w:sz w:val="24"/>
          <w:szCs w:val="24"/>
        </w:rPr>
        <w:t xml:space="preserve">. </w:t>
      </w:r>
      <w:r w:rsidRPr="00900042">
        <w:rPr>
          <w:rFonts w:ascii="Times New Roman" w:eastAsia="Calibri" w:hAnsi="Times New Roman" w:cs="Times New Roman"/>
          <w:sz w:val="24"/>
          <w:szCs w:val="24"/>
        </w:rPr>
        <w:t xml:space="preserve">“Fonds”, </w:t>
      </w:r>
      <w:r>
        <w:rPr>
          <w:rFonts w:ascii="Times New Roman" w:eastAsia="Calibri" w:hAnsi="Times New Roman" w:cs="Times New Roman"/>
          <w:sz w:val="24"/>
          <w:szCs w:val="24"/>
        </w:rPr>
        <w:t>Nr.</w:t>
      </w:r>
      <w:r w:rsidRPr="00900042">
        <w:rPr>
          <w:rFonts w:ascii="Times New Roman" w:eastAsia="Calibri" w:hAnsi="Times New Roman" w:cs="Times New Roman"/>
          <w:sz w:val="24"/>
          <w:szCs w:val="24"/>
        </w:rPr>
        <w:t>1.2</w:t>
      </w:r>
      <w:r w:rsidR="0066299F">
        <w:rPr>
          <w:rFonts w:ascii="Times New Roman" w:eastAsia="Calibri" w:hAnsi="Times New Roman" w:cs="Times New Roman"/>
          <w:sz w:val="24"/>
          <w:szCs w:val="24"/>
        </w:rPr>
        <w:t>.</w:t>
      </w:r>
      <w:r w:rsidRPr="00900042">
        <w:rPr>
          <w:rFonts w:ascii="Times New Roman" w:eastAsia="Calibri" w:hAnsi="Times New Roman" w:cs="Times New Roman"/>
          <w:sz w:val="24"/>
          <w:szCs w:val="24"/>
        </w:rPr>
        <w:t xml:space="preserve"> “Gads”, </w:t>
      </w:r>
      <w:r>
        <w:rPr>
          <w:rFonts w:ascii="Times New Roman" w:eastAsia="Calibri" w:hAnsi="Times New Roman" w:cs="Times New Roman"/>
          <w:sz w:val="24"/>
          <w:szCs w:val="24"/>
        </w:rPr>
        <w:t>Nr.</w:t>
      </w:r>
      <w:r w:rsidRPr="00900042">
        <w:rPr>
          <w:rFonts w:ascii="Times New Roman" w:eastAsia="Calibri" w:hAnsi="Times New Roman" w:cs="Times New Roman"/>
          <w:sz w:val="24"/>
          <w:szCs w:val="24"/>
        </w:rPr>
        <w:t>1.3</w:t>
      </w:r>
      <w:r w:rsidR="0066299F">
        <w:rPr>
          <w:rFonts w:ascii="Times New Roman" w:eastAsia="Calibri" w:hAnsi="Times New Roman" w:cs="Times New Roman"/>
          <w:sz w:val="24"/>
          <w:szCs w:val="24"/>
        </w:rPr>
        <w:t>.</w:t>
      </w:r>
      <w:r w:rsidRPr="00900042">
        <w:rPr>
          <w:rFonts w:ascii="Times New Roman" w:eastAsia="Calibri" w:hAnsi="Times New Roman" w:cs="Times New Roman"/>
          <w:sz w:val="24"/>
          <w:szCs w:val="24"/>
        </w:rPr>
        <w:t xml:space="preserve"> “</w:t>
      </w:r>
      <w:r>
        <w:rPr>
          <w:rFonts w:ascii="Times New Roman" w:eastAsia="Calibri" w:hAnsi="Times New Roman" w:cs="Times New Roman"/>
          <w:sz w:val="24"/>
          <w:szCs w:val="24"/>
        </w:rPr>
        <w:t>Plānošanas</w:t>
      </w:r>
      <w:r w:rsidRPr="00900042">
        <w:rPr>
          <w:rFonts w:ascii="Times New Roman" w:eastAsia="Calibri" w:hAnsi="Times New Roman" w:cs="Times New Roman"/>
          <w:sz w:val="24"/>
          <w:szCs w:val="24"/>
        </w:rPr>
        <w:t xml:space="preserve"> periods” un </w:t>
      </w:r>
      <w:r>
        <w:rPr>
          <w:rFonts w:ascii="Times New Roman" w:eastAsia="Calibri" w:hAnsi="Times New Roman" w:cs="Times New Roman"/>
          <w:sz w:val="24"/>
          <w:szCs w:val="24"/>
        </w:rPr>
        <w:t>Nr.</w:t>
      </w:r>
      <w:r w:rsidRPr="00900042">
        <w:rPr>
          <w:rFonts w:ascii="Times New Roman" w:eastAsia="Calibri" w:hAnsi="Times New Roman" w:cs="Times New Roman"/>
          <w:sz w:val="24"/>
          <w:szCs w:val="24"/>
        </w:rPr>
        <w:t>1.4.</w:t>
      </w:r>
      <w:r w:rsidR="0066299F">
        <w:rPr>
          <w:rFonts w:ascii="Times New Roman" w:eastAsia="Calibri" w:hAnsi="Times New Roman" w:cs="Times New Roman"/>
          <w:sz w:val="24"/>
          <w:szCs w:val="24"/>
        </w:rPr>
        <w:t xml:space="preserve"> </w:t>
      </w:r>
      <w:r w:rsidRPr="00900042">
        <w:rPr>
          <w:rFonts w:ascii="Times New Roman" w:eastAsia="Calibri" w:hAnsi="Times New Roman" w:cs="Times New Roman"/>
          <w:sz w:val="24"/>
          <w:szCs w:val="24"/>
        </w:rPr>
        <w:t xml:space="preserve">“Atsauces numurs - valsts” ievadīto informāciju. </w:t>
      </w:r>
    </w:p>
    <w:p w14:paraId="5216842C" w14:textId="77777777" w:rsidR="00477C05" w:rsidRDefault="00477C05" w:rsidP="00477C05">
      <w:pPr>
        <w:spacing w:after="120" w:line="240" w:lineRule="auto"/>
        <w:ind w:firstLine="567"/>
        <w:jc w:val="both"/>
        <w:rPr>
          <w:rFonts w:ascii="Times New Roman" w:eastAsia="Calibri" w:hAnsi="Times New Roman" w:cs="Times New Roman"/>
          <w:sz w:val="24"/>
          <w:szCs w:val="24"/>
        </w:rPr>
      </w:pPr>
      <w:r w:rsidRPr="003D11B4">
        <w:rPr>
          <w:rFonts w:ascii="Times New Roman" w:eastAsia="Calibri" w:hAnsi="Times New Roman" w:cs="Times New Roman"/>
          <w:sz w:val="24"/>
          <w:szCs w:val="24"/>
        </w:rPr>
        <w:t>Ievadot ziņojuma gadu (1.2</w:t>
      </w:r>
      <w:r>
        <w:rPr>
          <w:rFonts w:ascii="Times New Roman" w:eastAsia="Calibri" w:hAnsi="Times New Roman" w:cs="Times New Roman"/>
          <w:sz w:val="24"/>
          <w:szCs w:val="24"/>
        </w:rPr>
        <w:t>.lauks</w:t>
      </w:r>
      <w:r w:rsidRPr="003D11B4">
        <w:rPr>
          <w:rFonts w:ascii="Times New Roman" w:eastAsia="Calibri" w:hAnsi="Times New Roman" w:cs="Times New Roman"/>
          <w:sz w:val="24"/>
          <w:szCs w:val="24"/>
        </w:rPr>
        <w:t>)</w:t>
      </w:r>
      <w:r>
        <w:rPr>
          <w:rFonts w:ascii="Times New Roman" w:eastAsia="Calibri" w:hAnsi="Times New Roman" w:cs="Times New Roman"/>
          <w:sz w:val="24"/>
          <w:szCs w:val="24"/>
        </w:rPr>
        <w:t>,</w:t>
      </w:r>
      <w:r w:rsidRPr="003D11B4">
        <w:rPr>
          <w:rFonts w:ascii="Times New Roman" w:eastAsia="Calibri" w:hAnsi="Times New Roman" w:cs="Times New Roman"/>
          <w:sz w:val="24"/>
          <w:szCs w:val="24"/>
        </w:rPr>
        <w:t xml:space="preserve"> sistēmā automātiski tiek piešķirts tekošais ziņošanas gads. To iespējams manuāli koriģēt gadījumā, ja neatbilstības ziņojums attiecas uz iepriekšējo vai nākamo gadu. OBLIGĀTI jākoriģē visu to neatbilstību ziņojumu gads, kuri tiek ievadīti EK/OLAF IMS no kārtējā gada 1.janvāra līdz 28.februārim, bet attiecas uz iepriekšējo pārskata gadu. Piemēram, ja 2016.gada februārī EK/OLAF IMS tiks ievadīts neatbilstības ziņojums par 2015.gada 4.ceturksni, tad sistēma automātiski šim ziņojumam piešķirs 2016.gadu. Šajā situācijā gads manuāli jākoriģē, norādot 2015. </w:t>
      </w:r>
    </w:p>
    <w:p w14:paraId="552D74E1" w14:textId="5A8FE985" w:rsidR="00667881" w:rsidRDefault="00667881" w:rsidP="00477C05">
      <w:pPr>
        <w:spacing w:after="120" w:line="240" w:lineRule="auto"/>
        <w:ind w:firstLine="567"/>
        <w:jc w:val="both"/>
        <w:rPr>
          <w:rFonts w:ascii="Times New Roman" w:eastAsia="Calibri" w:hAnsi="Times New Roman" w:cs="Times New Roman"/>
          <w:sz w:val="24"/>
          <w:szCs w:val="24"/>
        </w:rPr>
      </w:pPr>
      <w:r w:rsidRPr="00667881">
        <w:rPr>
          <w:rFonts w:ascii="Times New Roman" w:eastAsia="Calibri" w:hAnsi="Times New Roman" w:cs="Times New Roman"/>
          <w:b/>
          <w:sz w:val="24"/>
          <w:szCs w:val="24"/>
        </w:rPr>
        <w:t>!</w:t>
      </w:r>
      <w:r>
        <w:rPr>
          <w:rFonts w:ascii="Times New Roman" w:eastAsia="Calibri" w:hAnsi="Times New Roman" w:cs="Times New Roman"/>
          <w:sz w:val="24"/>
          <w:szCs w:val="24"/>
        </w:rPr>
        <w:t xml:space="preserve"> Pēc ziņojuma </w:t>
      </w:r>
      <w:proofErr w:type="spellStart"/>
      <w:r>
        <w:rPr>
          <w:rFonts w:ascii="Times New Roman" w:eastAsia="Calibri" w:hAnsi="Times New Roman" w:cs="Times New Roman"/>
          <w:sz w:val="24"/>
          <w:szCs w:val="24"/>
        </w:rPr>
        <w:t>finalizēšanas</w:t>
      </w:r>
      <w:proofErr w:type="spellEnd"/>
      <w:r>
        <w:rPr>
          <w:rFonts w:ascii="Times New Roman" w:eastAsia="Calibri" w:hAnsi="Times New Roman" w:cs="Times New Roman"/>
          <w:sz w:val="24"/>
          <w:szCs w:val="24"/>
        </w:rPr>
        <w:t xml:space="preserve"> (nospiežot pogu “</w:t>
      </w:r>
      <w:proofErr w:type="spellStart"/>
      <w:r w:rsidRPr="00667881">
        <w:rPr>
          <w:rFonts w:ascii="Times New Roman" w:eastAsia="Calibri" w:hAnsi="Times New Roman" w:cs="Times New Roman"/>
          <w:i/>
          <w:sz w:val="24"/>
          <w:szCs w:val="24"/>
        </w:rPr>
        <w:t>Finalise</w:t>
      </w:r>
      <w:proofErr w:type="spellEnd"/>
      <w:r>
        <w:rPr>
          <w:rFonts w:ascii="Times New Roman" w:eastAsia="Calibri" w:hAnsi="Times New Roman" w:cs="Times New Roman"/>
          <w:sz w:val="24"/>
          <w:szCs w:val="24"/>
        </w:rPr>
        <w:t xml:space="preserve">”), lauka Nr.1.1., 1.2. un 1.3. precizēšana iespējama tikai nosūtot attiecīgo pieprasījumu </w:t>
      </w:r>
      <w:r w:rsidR="00156E08">
        <w:rPr>
          <w:rFonts w:ascii="Times New Roman" w:eastAsia="Calibri" w:hAnsi="Times New Roman" w:cs="Times New Roman"/>
          <w:sz w:val="24"/>
          <w:szCs w:val="24"/>
        </w:rPr>
        <w:t>EK/</w:t>
      </w:r>
      <w:r>
        <w:rPr>
          <w:rFonts w:ascii="Times New Roman" w:eastAsia="Calibri" w:hAnsi="Times New Roman" w:cs="Times New Roman"/>
          <w:sz w:val="24"/>
          <w:szCs w:val="24"/>
        </w:rPr>
        <w:t>OLAF atbildīgajam darbiniekam.</w:t>
      </w:r>
    </w:p>
    <w:p w14:paraId="44D96F57" w14:textId="322B18D2" w:rsidR="00477C05" w:rsidRDefault="00477C05" w:rsidP="00477C05">
      <w:pPr>
        <w:spacing w:after="120" w:line="240" w:lineRule="auto"/>
        <w:ind w:firstLine="567"/>
        <w:jc w:val="both"/>
        <w:rPr>
          <w:rFonts w:ascii="Times New Roman" w:eastAsia="Calibri" w:hAnsi="Times New Roman" w:cs="Times New Roman"/>
          <w:sz w:val="24"/>
          <w:szCs w:val="24"/>
        </w:rPr>
      </w:pPr>
      <w:r w:rsidRPr="00E226EB">
        <w:rPr>
          <w:rFonts w:ascii="Times New Roman" w:eastAsia="Calibri" w:hAnsi="Times New Roman" w:cs="Times New Roman"/>
          <w:sz w:val="24"/>
          <w:szCs w:val="24"/>
        </w:rPr>
        <w:t>Sistēma automātiski piešķir</w:t>
      </w:r>
      <w:r w:rsidR="00DB4055">
        <w:rPr>
          <w:rFonts w:ascii="Times New Roman" w:eastAsia="Calibri" w:hAnsi="Times New Roman" w:cs="Times New Roman"/>
          <w:sz w:val="24"/>
          <w:szCs w:val="24"/>
        </w:rPr>
        <w:t xml:space="preserve"> numuru katram jaunam pieprasījumam (</w:t>
      </w:r>
      <w:proofErr w:type="spellStart"/>
      <w:r w:rsidR="00DB4055" w:rsidRPr="00DB4055">
        <w:rPr>
          <w:rFonts w:ascii="Times New Roman" w:eastAsia="Calibri" w:hAnsi="Times New Roman" w:cs="Times New Roman"/>
          <w:i/>
          <w:sz w:val="24"/>
          <w:szCs w:val="24"/>
        </w:rPr>
        <w:t>Request</w:t>
      </w:r>
      <w:proofErr w:type="spellEnd"/>
      <w:r w:rsidR="00DB4055" w:rsidRPr="00DB4055">
        <w:rPr>
          <w:rFonts w:ascii="Times New Roman" w:eastAsia="Calibri" w:hAnsi="Times New Roman" w:cs="Times New Roman"/>
          <w:i/>
          <w:sz w:val="24"/>
          <w:szCs w:val="24"/>
        </w:rPr>
        <w:t xml:space="preserve"> ID</w:t>
      </w:r>
      <w:r w:rsidR="00DB4055">
        <w:rPr>
          <w:rFonts w:ascii="Times New Roman" w:eastAsia="Calibri" w:hAnsi="Times New Roman" w:cs="Times New Roman"/>
          <w:sz w:val="24"/>
          <w:szCs w:val="24"/>
        </w:rPr>
        <w:t>) vai jaunam gadījumam (</w:t>
      </w:r>
      <w:proofErr w:type="spellStart"/>
      <w:r w:rsidR="00DB4055" w:rsidRPr="00DB4055">
        <w:rPr>
          <w:rFonts w:ascii="Times New Roman" w:eastAsia="Calibri" w:hAnsi="Times New Roman" w:cs="Times New Roman"/>
          <w:i/>
          <w:sz w:val="24"/>
          <w:szCs w:val="24"/>
        </w:rPr>
        <w:t>Case</w:t>
      </w:r>
      <w:proofErr w:type="spellEnd"/>
      <w:r w:rsidR="00DB4055" w:rsidRPr="00DB4055">
        <w:rPr>
          <w:rFonts w:ascii="Times New Roman" w:eastAsia="Calibri" w:hAnsi="Times New Roman" w:cs="Times New Roman"/>
          <w:i/>
          <w:sz w:val="24"/>
          <w:szCs w:val="24"/>
        </w:rPr>
        <w:t xml:space="preserve"> ID</w:t>
      </w:r>
      <w:r w:rsidR="00DB4055">
        <w:rPr>
          <w:rFonts w:ascii="Times New Roman" w:eastAsia="Calibri" w:hAnsi="Times New Roman" w:cs="Times New Roman"/>
          <w:sz w:val="24"/>
          <w:szCs w:val="24"/>
        </w:rPr>
        <w:t xml:space="preserve">). </w:t>
      </w:r>
    </w:p>
    <w:p w14:paraId="5941F497" w14:textId="57DF4951" w:rsidR="00CD217C" w:rsidRPr="00CD217C" w:rsidRDefault="00477C05" w:rsidP="00CD217C">
      <w:pPr>
        <w:pStyle w:val="ListParagraph"/>
        <w:numPr>
          <w:ilvl w:val="1"/>
          <w:numId w:val="1"/>
        </w:numPr>
        <w:tabs>
          <w:tab w:val="clear" w:pos="794"/>
        </w:tabs>
        <w:spacing w:after="120" w:line="240" w:lineRule="auto"/>
        <w:ind w:left="1134"/>
        <w:jc w:val="both"/>
        <w:rPr>
          <w:rFonts w:ascii="Times New Roman" w:eastAsia="Calibri" w:hAnsi="Times New Roman" w:cs="Times New Roman"/>
          <w:sz w:val="24"/>
          <w:szCs w:val="24"/>
        </w:rPr>
      </w:pPr>
      <w:r w:rsidRPr="0025569D">
        <w:rPr>
          <w:rFonts w:ascii="Times New Roman" w:hAnsi="Times New Roman" w:cs="Times New Roman"/>
          <w:sz w:val="24"/>
          <w:szCs w:val="24"/>
        </w:rPr>
        <w:t>Sadaļā</w:t>
      </w:r>
      <w:r>
        <w:rPr>
          <w:rFonts w:ascii="Times New Roman" w:hAnsi="Times New Roman" w:cs="Times New Roman"/>
          <w:sz w:val="24"/>
          <w:szCs w:val="24"/>
        </w:rPr>
        <w:t xml:space="preserve"> </w:t>
      </w:r>
      <w:r w:rsidRPr="00E226EB">
        <w:rPr>
          <w:rFonts w:ascii="Times New Roman" w:hAnsi="Times New Roman" w:cs="Times New Roman"/>
          <w:sz w:val="24"/>
          <w:szCs w:val="24"/>
        </w:rPr>
        <w:t xml:space="preserve">„Identifikācija” laukā „Atsauces numurs – </w:t>
      </w:r>
      <w:r>
        <w:rPr>
          <w:rFonts w:ascii="Times New Roman" w:hAnsi="Times New Roman" w:cs="Times New Roman"/>
          <w:sz w:val="24"/>
          <w:szCs w:val="24"/>
        </w:rPr>
        <w:t>valsts</w:t>
      </w:r>
      <w:r w:rsidRPr="00E226EB">
        <w:rPr>
          <w:rFonts w:ascii="Times New Roman" w:hAnsi="Times New Roman" w:cs="Times New Roman"/>
          <w:sz w:val="24"/>
          <w:szCs w:val="24"/>
        </w:rPr>
        <w:t>” – neatbilstības identifikācijas numurs jānorāda tāds pats, kā KPVIS neatbilstības numurs, piemēram, 2015/ERAF/45.</w:t>
      </w:r>
    </w:p>
    <w:p w14:paraId="2C0C9539" w14:textId="77777777" w:rsidR="00CD217C" w:rsidRDefault="00CD217C" w:rsidP="00CD217C">
      <w:pPr>
        <w:pStyle w:val="ListParagraph"/>
        <w:spacing w:after="0" w:line="240" w:lineRule="auto"/>
        <w:ind w:left="426"/>
        <w:jc w:val="both"/>
        <w:rPr>
          <w:rFonts w:ascii="Times New Roman" w:hAnsi="Times New Roman" w:cs="Times New Roman"/>
          <w:sz w:val="24"/>
          <w:szCs w:val="24"/>
        </w:rPr>
      </w:pPr>
    </w:p>
    <w:p w14:paraId="79BDDA78" w14:textId="77777777" w:rsidR="00477C05" w:rsidRPr="00491861" w:rsidRDefault="00477C05" w:rsidP="00B2076F">
      <w:pPr>
        <w:pStyle w:val="ListParagraph"/>
        <w:numPr>
          <w:ilvl w:val="0"/>
          <w:numId w:val="1"/>
        </w:numPr>
        <w:spacing w:after="0" w:line="240" w:lineRule="auto"/>
        <w:ind w:left="426" w:hanging="426"/>
        <w:jc w:val="both"/>
        <w:rPr>
          <w:rFonts w:ascii="Times New Roman" w:hAnsi="Times New Roman" w:cs="Times New Roman"/>
          <w:sz w:val="24"/>
          <w:szCs w:val="24"/>
        </w:rPr>
      </w:pPr>
      <w:r w:rsidRPr="00491861">
        <w:rPr>
          <w:rFonts w:ascii="Times New Roman" w:hAnsi="Times New Roman" w:cs="Times New Roman"/>
          <w:sz w:val="24"/>
          <w:szCs w:val="24"/>
        </w:rPr>
        <w:t xml:space="preserve">Sadaļā Nr.4 „Darbība – konkrēts projekts” </w:t>
      </w:r>
      <w:r>
        <w:rPr>
          <w:rFonts w:ascii="Times New Roman" w:hAnsi="Times New Roman" w:cs="Times New Roman"/>
          <w:sz w:val="24"/>
          <w:szCs w:val="24"/>
        </w:rPr>
        <w:t>no saraksta jāizvēlas</w:t>
      </w:r>
      <w:r w:rsidRPr="00491861">
        <w:rPr>
          <w:rFonts w:ascii="Times New Roman" w:hAnsi="Times New Roman" w:cs="Times New Roman"/>
          <w:sz w:val="24"/>
          <w:szCs w:val="24"/>
        </w:rPr>
        <w:t xml:space="preserve"> projekta nosaukums un numurs. </w:t>
      </w:r>
    </w:p>
    <w:p w14:paraId="03732CD3" w14:textId="77777777" w:rsidR="00477C05" w:rsidRPr="00E226EB" w:rsidRDefault="00477C05" w:rsidP="00477C05">
      <w:pPr>
        <w:numPr>
          <w:ilvl w:val="1"/>
          <w:numId w:val="1"/>
        </w:numPr>
        <w:tabs>
          <w:tab w:val="clear" w:pos="794"/>
        </w:tabs>
        <w:spacing w:after="0" w:line="240" w:lineRule="auto"/>
        <w:ind w:left="993" w:hanging="426"/>
        <w:contextualSpacing/>
        <w:jc w:val="both"/>
        <w:rPr>
          <w:rFonts w:ascii="Times New Roman" w:hAnsi="Times New Roman" w:cs="Times New Roman"/>
          <w:sz w:val="24"/>
          <w:szCs w:val="24"/>
        </w:rPr>
      </w:pPr>
      <w:r w:rsidRPr="00E226EB">
        <w:rPr>
          <w:rFonts w:ascii="Times New Roman" w:hAnsi="Times New Roman" w:cs="Times New Roman"/>
          <w:sz w:val="24"/>
          <w:szCs w:val="24"/>
        </w:rPr>
        <w:lastRenderedPageBreak/>
        <w:t>Laukā „Līdzfinansējuma likme” jānorāda procents, kas atspoguļo ES fondu daļu no kopējā publiskā finansējuma (bez privātā finansējuma);</w:t>
      </w:r>
    </w:p>
    <w:p w14:paraId="748B5E9C" w14:textId="50211D5D" w:rsidR="00477C05" w:rsidRDefault="00477C05" w:rsidP="00477C05">
      <w:pPr>
        <w:numPr>
          <w:ilvl w:val="1"/>
          <w:numId w:val="1"/>
        </w:numPr>
        <w:tabs>
          <w:tab w:val="clear" w:pos="794"/>
        </w:tabs>
        <w:spacing w:after="0" w:line="240" w:lineRule="auto"/>
        <w:ind w:left="993" w:hanging="426"/>
        <w:contextualSpacing/>
        <w:jc w:val="both"/>
        <w:rPr>
          <w:rFonts w:ascii="Times New Roman" w:hAnsi="Times New Roman" w:cs="Times New Roman"/>
          <w:sz w:val="24"/>
          <w:szCs w:val="24"/>
        </w:rPr>
      </w:pPr>
      <w:r>
        <w:rPr>
          <w:rFonts w:ascii="Times New Roman" w:hAnsi="Times New Roman" w:cs="Times New Roman"/>
          <w:sz w:val="24"/>
          <w:szCs w:val="24"/>
        </w:rPr>
        <w:t>Laukā “Izdevumu apjoms”</w:t>
      </w:r>
      <w:r w:rsidR="00AE3DE9">
        <w:rPr>
          <w:rFonts w:ascii="Times New Roman" w:hAnsi="Times New Roman" w:cs="Times New Roman"/>
          <w:sz w:val="24"/>
          <w:szCs w:val="24"/>
        </w:rPr>
        <w:t xml:space="preserve"> (Projekta izmaksas)</w:t>
      </w:r>
      <w:r>
        <w:rPr>
          <w:rFonts w:ascii="Times New Roman" w:hAnsi="Times New Roman" w:cs="Times New Roman"/>
          <w:sz w:val="24"/>
          <w:szCs w:val="24"/>
        </w:rPr>
        <w:t xml:space="preserve"> </w:t>
      </w:r>
      <w:r w:rsidRPr="00E226EB">
        <w:rPr>
          <w:rFonts w:ascii="Times New Roman" w:hAnsi="Times New Roman" w:cs="Times New Roman"/>
          <w:sz w:val="24"/>
          <w:szCs w:val="24"/>
        </w:rPr>
        <w:t xml:space="preserve">jānorāda finansēšanas plānā norādītā projekta summa EUR; </w:t>
      </w:r>
    </w:p>
    <w:p w14:paraId="1DC82BF0" w14:textId="6D058408" w:rsidR="00AE3DE9" w:rsidRPr="00E226EB" w:rsidDel="00491861" w:rsidRDefault="00AE3DE9" w:rsidP="00BC1C92">
      <w:pPr>
        <w:numPr>
          <w:ilvl w:val="2"/>
          <w:numId w:val="1"/>
        </w:numPr>
        <w:spacing w:after="0" w:line="360" w:lineRule="auto"/>
        <w:contextualSpacing/>
        <w:jc w:val="both"/>
        <w:rPr>
          <w:rFonts w:ascii="Times New Roman" w:hAnsi="Times New Roman" w:cs="Times New Roman"/>
          <w:sz w:val="24"/>
          <w:szCs w:val="24"/>
        </w:rPr>
      </w:pPr>
      <w:r w:rsidRPr="00E226EB" w:rsidDel="00491861">
        <w:rPr>
          <w:rFonts w:ascii="Times New Roman" w:hAnsi="Times New Roman" w:cs="Times New Roman"/>
          <w:sz w:val="24"/>
          <w:szCs w:val="24"/>
        </w:rPr>
        <w:t xml:space="preserve">EK/OLAF IMS sistēmā </w:t>
      </w:r>
      <w:r>
        <w:rPr>
          <w:rFonts w:ascii="Times New Roman" w:hAnsi="Times New Roman" w:cs="Times New Roman"/>
          <w:sz w:val="24"/>
          <w:szCs w:val="24"/>
        </w:rPr>
        <w:t>izdevumu</w:t>
      </w:r>
      <w:r w:rsidRPr="00E226EB" w:rsidDel="00491861">
        <w:rPr>
          <w:rFonts w:ascii="Times New Roman" w:hAnsi="Times New Roman" w:cs="Times New Roman"/>
          <w:sz w:val="24"/>
          <w:szCs w:val="24"/>
        </w:rPr>
        <w:t xml:space="preserve"> apjoms tiek ievadīts šādi: </w:t>
      </w:r>
    </w:p>
    <w:tbl>
      <w:tblPr>
        <w:tblW w:w="0" w:type="auto"/>
        <w:tblInd w:w="421"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736"/>
        <w:gridCol w:w="1736"/>
        <w:gridCol w:w="1489"/>
        <w:gridCol w:w="1417"/>
        <w:gridCol w:w="1134"/>
      </w:tblGrid>
      <w:tr w:rsidR="00F42732" w:rsidRPr="00E226EB" w:rsidDel="00491861" w14:paraId="6A980ED7" w14:textId="4B32B9B0" w:rsidTr="00BC1C92">
        <w:trPr>
          <w:trHeight w:val="1162"/>
        </w:trPr>
        <w:tc>
          <w:tcPr>
            <w:tcW w:w="1736" w:type="dxa"/>
            <w:tcMar>
              <w:top w:w="0" w:type="dxa"/>
              <w:left w:w="108" w:type="dxa"/>
              <w:bottom w:w="0" w:type="dxa"/>
              <w:right w:w="108" w:type="dxa"/>
            </w:tcMar>
            <w:hideMark/>
          </w:tcPr>
          <w:p w14:paraId="2FB45007" w14:textId="3036FA08" w:rsidR="00F42732" w:rsidRPr="0067198C" w:rsidRDefault="00F42732" w:rsidP="00AE3DE9">
            <w:pPr>
              <w:spacing w:after="0" w:line="240" w:lineRule="auto"/>
              <w:jc w:val="center"/>
              <w:rPr>
                <w:rFonts w:ascii="Times New Roman" w:hAnsi="Times New Roman" w:cs="Times New Roman"/>
                <w:sz w:val="24"/>
                <w:szCs w:val="24"/>
                <w:u w:val="single"/>
              </w:rPr>
            </w:pPr>
            <w:r w:rsidRPr="0067198C">
              <w:rPr>
                <w:rFonts w:ascii="Times New Roman" w:hAnsi="Times New Roman" w:cs="Times New Roman"/>
                <w:sz w:val="24"/>
                <w:szCs w:val="24"/>
                <w:u w:val="single"/>
              </w:rPr>
              <w:t>ES līdzfinansējums</w:t>
            </w:r>
          </w:p>
          <w:p w14:paraId="7745EA68" w14:textId="78AC74FC" w:rsidR="00F42732" w:rsidRPr="00E226EB" w:rsidDel="00491861" w:rsidRDefault="00F42732" w:rsidP="00F42732">
            <w:pPr>
              <w:spacing w:after="0" w:line="240" w:lineRule="auto"/>
              <w:jc w:val="center"/>
              <w:rPr>
                <w:rFonts w:ascii="Times New Roman" w:hAnsi="Times New Roman" w:cs="Times New Roman"/>
                <w:sz w:val="24"/>
                <w:szCs w:val="24"/>
              </w:rPr>
            </w:pPr>
            <w:r w:rsidRPr="00E226EB" w:rsidDel="00491861">
              <w:rPr>
                <w:rFonts w:ascii="Times New Roman" w:hAnsi="Times New Roman" w:cs="Times New Roman"/>
                <w:sz w:val="24"/>
                <w:szCs w:val="24"/>
              </w:rPr>
              <w:t xml:space="preserve"> (</w:t>
            </w:r>
            <w:r>
              <w:rPr>
                <w:rFonts w:ascii="Times New Roman" w:hAnsi="Times New Roman" w:cs="Times New Roman"/>
                <w:sz w:val="24"/>
                <w:szCs w:val="24"/>
              </w:rPr>
              <w:t>A</w:t>
            </w:r>
            <w:r w:rsidRPr="00E226EB" w:rsidDel="00491861">
              <w:rPr>
                <w:rFonts w:ascii="Times New Roman" w:hAnsi="Times New Roman" w:cs="Times New Roman"/>
                <w:sz w:val="24"/>
                <w:szCs w:val="24"/>
              </w:rPr>
              <w:t>)</w:t>
            </w:r>
          </w:p>
        </w:tc>
        <w:tc>
          <w:tcPr>
            <w:tcW w:w="1736" w:type="dxa"/>
            <w:tcMar>
              <w:top w:w="0" w:type="dxa"/>
              <w:left w:w="108" w:type="dxa"/>
              <w:bottom w:w="0" w:type="dxa"/>
              <w:right w:w="108" w:type="dxa"/>
            </w:tcMar>
            <w:hideMark/>
          </w:tcPr>
          <w:p w14:paraId="404F9CFF" w14:textId="0644BF90" w:rsidR="00F42732" w:rsidRPr="0067198C" w:rsidRDefault="00F42732" w:rsidP="00AE3DE9">
            <w:pPr>
              <w:spacing w:after="0" w:line="240" w:lineRule="auto"/>
              <w:jc w:val="center"/>
              <w:rPr>
                <w:rFonts w:ascii="Times New Roman" w:hAnsi="Times New Roman" w:cs="Times New Roman"/>
                <w:sz w:val="24"/>
                <w:szCs w:val="24"/>
                <w:u w:val="single"/>
              </w:rPr>
            </w:pPr>
            <w:r w:rsidRPr="0067198C" w:rsidDel="00491861">
              <w:rPr>
                <w:rFonts w:ascii="Times New Roman" w:hAnsi="Times New Roman" w:cs="Times New Roman"/>
                <w:sz w:val="24"/>
                <w:szCs w:val="24"/>
                <w:u w:val="single"/>
              </w:rPr>
              <w:t>Dalībvalsts līdzfinansējums</w:t>
            </w:r>
          </w:p>
          <w:p w14:paraId="503E8134" w14:textId="221EC7EE" w:rsidR="00F42732" w:rsidRPr="00E226EB" w:rsidDel="00491861" w:rsidRDefault="00F42732" w:rsidP="00F42732">
            <w:pPr>
              <w:spacing w:after="0" w:line="240" w:lineRule="auto"/>
              <w:jc w:val="center"/>
              <w:rPr>
                <w:rFonts w:ascii="Times New Roman" w:hAnsi="Times New Roman" w:cs="Times New Roman"/>
                <w:sz w:val="24"/>
                <w:szCs w:val="24"/>
              </w:rPr>
            </w:pPr>
            <w:r w:rsidRPr="00E226EB" w:rsidDel="00491861">
              <w:rPr>
                <w:rFonts w:ascii="Times New Roman" w:hAnsi="Times New Roman" w:cs="Times New Roman"/>
                <w:sz w:val="24"/>
                <w:szCs w:val="24"/>
              </w:rPr>
              <w:t xml:space="preserve"> (</w:t>
            </w:r>
            <w:r>
              <w:rPr>
                <w:rFonts w:ascii="Times New Roman" w:hAnsi="Times New Roman" w:cs="Times New Roman"/>
                <w:sz w:val="24"/>
                <w:szCs w:val="24"/>
              </w:rPr>
              <w:t>B</w:t>
            </w:r>
            <w:r w:rsidRPr="00E226EB" w:rsidDel="00491861">
              <w:rPr>
                <w:rFonts w:ascii="Times New Roman" w:hAnsi="Times New Roman" w:cs="Times New Roman"/>
                <w:sz w:val="24"/>
                <w:szCs w:val="24"/>
              </w:rPr>
              <w:t>)</w:t>
            </w:r>
          </w:p>
        </w:tc>
        <w:tc>
          <w:tcPr>
            <w:tcW w:w="1489" w:type="dxa"/>
            <w:tcMar>
              <w:top w:w="0" w:type="dxa"/>
              <w:left w:w="108" w:type="dxa"/>
              <w:bottom w:w="0" w:type="dxa"/>
              <w:right w:w="108" w:type="dxa"/>
            </w:tcMar>
            <w:hideMark/>
          </w:tcPr>
          <w:p w14:paraId="3D08C354" w14:textId="18CD77C5" w:rsidR="00F42732" w:rsidRPr="0067198C" w:rsidRDefault="00F42732" w:rsidP="00AE3DE9">
            <w:pPr>
              <w:spacing w:after="0" w:line="240" w:lineRule="auto"/>
              <w:jc w:val="center"/>
              <w:rPr>
                <w:rFonts w:ascii="Times New Roman" w:hAnsi="Times New Roman" w:cs="Times New Roman"/>
                <w:sz w:val="24"/>
                <w:szCs w:val="24"/>
                <w:u w:val="single"/>
              </w:rPr>
            </w:pPr>
            <w:r w:rsidRPr="0067198C">
              <w:rPr>
                <w:rFonts w:ascii="Times New Roman" w:hAnsi="Times New Roman" w:cs="Times New Roman"/>
                <w:sz w:val="24"/>
                <w:szCs w:val="24"/>
                <w:u w:val="single"/>
              </w:rPr>
              <w:t>Publiskais finansējums</w:t>
            </w:r>
          </w:p>
          <w:p w14:paraId="08EF979D" w14:textId="299103BA" w:rsidR="00F42732" w:rsidRPr="00E226EB" w:rsidDel="00491861" w:rsidRDefault="00F42732" w:rsidP="00F42732">
            <w:pPr>
              <w:spacing w:after="0" w:line="240" w:lineRule="auto"/>
              <w:jc w:val="center"/>
              <w:rPr>
                <w:rFonts w:ascii="Times New Roman" w:hAnsi="Times New Roman" w:cs="Times New Roman"/>
                <w:sz w:val="24"/>
                <w:szCs w:val="24"/>
              </w:rPr>
            </w:pPr>
            <w:r w:rsidRPr="00E226EB" w:rsidDel="00491861">
              <w:rPr>
                <w:rFonts w:ascii="Times New Roman" w:hAnsi="Times New Roman" w:cs="Times New Roman"/>
                <w:sz w:val="24"/>
                <w:szCs w:val="24"/>
              </w:rPr>
              <w:t>(</w:t>
            </w:r>
            <w:r>
              <w:rPr>
                <w:rFonts w:ascii="Times New Roman" w:hAnsi="Times New Roman" w:cs="Times New Roman"/>
                <w:sz w:val="24"/>
                <w:szCs w:val="24"/>
              </w:rPr>
              <w:t>C</w:t>
            </w:r>
            <w:r w:rsidRPr="00E226EB" w:rsidDel="00491861">
              <w:rPr>
                <w:rFonts w:ascii="Times New Roman" w:hAnsi="Times New Roman" w:cs="Times New Roman"/>
                <w:sz w:val="24"/>
                <w:szCs w:val="24"/>
              </w:rPr>
              <w:t>)</w:t>
            </w:r>
          </w:p>
        </w:tc>
        <w:tc>
          <w:tcPr>
            <w:tcW w:w="1417" w:type="dxa"/>
          </w:tcPr>
          <w:p w14:paraId="79914BB8" w14:textId="77777777" w:rsidR="00F42732" w:rsidRPr="0067198C" w:rsidRDefault="00F42732" w:rsidP="00AE3DE9">
            <w:pPr>
              <w:spacing w:after="0" w:line="240" w:lineRule="auto"/>
              <w:jc w:val="center"/>
              <w:rPr>
                <w:rFonts w:ascii="Times New Roman" w:hAnsi="Times New Roman" w:cs="Times New Roman"/>
                <w:sz w:val="24"/>
                <w:szCs w:val="24"/>
                <w:u w:val="single"/>
              </w:rPr>
            </w:pPr>
            <w:r w:rsidRPr="0067198C">
              <w:rPr>
                <w:rFonts w:ascii="Times New Roman" w:hAnsi="Times New Roman" w:cs="Times New Roman"/>
                <w:sz w:val="24"/>
                <w:szCs w:val="24"/>
                <w:u w:val="single"/>
              </w:rPr>
              <w:t>Privātais finansējums</w:t>
            </w:r>
          </w:p>
          <w:p w14:paraId="29594B72" w14:textId="708D5F0D" w:rsidR="00F42732" w:rsidRDefault="00F42732" w:rsidP="00F427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(D)</w:t>
            </w:r>
          </w:p>
        </w:tc>
        <w:tc>
          <w:tcPr>
            <w:tcW w:w="1134" w:type="dxa"/>
          </w:tcPr>
          <w:p w14:paraId="309D0131" w14:textId="77777777" w:rsidR="0067198C" w:rsidRDefault="00F42732" w:rsidP="0067198C">
            <w:pPr>
              <w:spacing w:after="0" w:line="240" w:lineRule="auto"/>
              <w:jc w:val="center"/>
              <w:rPr>
                <w:rFonts w:ascii="Times New Roman" w:hAnsi="Times New Roman" w:cs="Times New Roman"/>
                <w:sz w:val="24"/>
                <w:szCs w:val="24"/>
              </w:rPr>
            </w:pPr>
            <w:proofErr w:type="spellStart"/>
            <w:r w:rsidRPr="0067198C" w:rsidDel="00491861">
              <w:rPr>
                <w:rFonts w:ascii="Times New Roman" w:hAnsi="Times New Roman" w:cs="Times New Roman"/>
                <w:sz w:val="24"/>
                <w:szCs w:val="24"/>
                <w:u w:val="single"/>
              </w:rPr>
              <w:t>Total</w:t>
            </w:r>
            <w:proofErr w:type="spellEnd"/>
            <w:r w:rsidRPr="00E226EB" w:rsidDel="00491861">
              <w:rPr>
                <w:rFonts w:ascii="Times New Roman" w:hAnsi="Times New Roman" w:cs="Times New Roman"/>
                <w:sz w:val="24"/>
                <w:szCs w:val="24"/>
              </w:rPr>
              <w:t xml:space="preserve"> </w:t>
            </w:r>
          </w:p>
          <w:p w14:paraId="740A69E7" w14:textId="12438726" w:rsidR="00F42732" w:rsidRDefault="00F42732" w:rsidP="0067198C">
            <w:pPr>
              <w:spacing w:after="0" w:line="240" w:lineRule="auto"/>
              <w:jc w:val="center"/>
              <w:rPr>
                <w:rFonts w:ascii="Times New Roman" w:hAnsi="Times New Roman" w:cs="Times New Roman"/>
                <w:sz w:val="24"/>
                <w:szCs w:val="24"/>
              </w:rPr>
            </w:pPr>
            <w:r w:rsidRPr="00E226EB" w:rsidDel="00491861">
              <w:rPr>
                <w:rFonts w:ascii="Times New Roman" w:hAnsi="Times New Roman" w:cs="Times New Roman"/>
                <w:sz w:val="24"/>
                <w:szCs w:val="24"/>
              </w:rPr>
              <w:t>(</w:t>
            </w:r>
            <w:r>
              <w:rPr>
                <w:rFonts w:ascii="Times New Roman" w:hAnsi="Times New Roman" w:cs="Times New Roman"/>
                <w:sz w:val="24"/>
                <w:szCs w:val="24"/>
              </w:rPr>
              <w:t>E</w:t>
            </w:r>
            <w:r w:rsidRPr="00E226EB" w:rsidDel="00491861">
              <w:rPr>
                <w:rFonts w:ascii="Times New Roman" w:hAnsi="Times New Roman" w:cs="Times New Roman"/>
                <w:sz w:val="24"/>
                <w:szCs w:val="24"/>
              </w:rPr>
              <w:t>)</w:t>
            </w:r>
          </w:p>
        </w:tc>
      </w:tr>
    </w:tbl>
    <w:p w14:paraId="0AE20806" w14:textId="4C836951" w:rsidR="00AE3DE9" w:rsidRDefault="00F42732" w:rsidP="004A278B">
      <w:pPr>
        <w:numPr>
          <w:ilvl w:val="0"/>
          <w:numId w:val="3"/>
        </w:numPr>
        <w:spacing w:before="240"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00AE3DE9">
        <w:rPr>
          <w:rFonts w:ascii="Times New Roman" w:hAnsi="Times New Roman" w:cs="Times New Roman"/>
          <w:sz w:val="24"/>
          <w:szCs w:val="24"/>
        </w:rPr>
        <w:t xml:space="preserve"> = </w:t>
      </w:r>
      <w:r>
        <w:rPr>
          <w:rFonts w:ascii="Times New Roman" w:hAnsi="Times New Roman" w:cs="Times New Roman"/>
          <w:sz w:val="24"/>
          <w:szCs w:val="24"/>
        </w:rPr>
        <w:t>C</w:t>
      </w:r>
      <w:r w:rsidR="00AE3DE9">
        <w:rPr>
          <w:rFonts w:ascii="Times New Roman" w:hAnsi="Times New Roman" w:cs="Times New Roman"/>
          <w:sz w:val="24"/>
          <w:szCs w:val="24"/>
        </w:rPr>
        <w:t xml:space="preserve"> + </w:t>
      </w:r>
      <w:r>
        <w:rPr>
          <w:rFonts w:ascii="Times New Roman" w:hAnsi="Times New Roman" w:cs="Times New Roman"/>
          <w:sz w:val="24"/>
          <w:szCs w:val="24"/>
        </w:rPr>
        <w:t>D</w:t>
      </w:r>
    </w:p>
    <w:p w14:paraId="14615777" w14:textId="1EE2A131" w:rsidR="00AE3DE9" w:rsidRDefault="00F42732" w:rsidP="00AE3DE9">
      <w:pPr>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w:t>
      </w:r>
      <w:r w:rsidR="00AE3DE9">
        <w:rPr>
          <w:rFonts w:ascii="Times New Roman" w:hAnsi="Times New Roman" w:cs="Times New Roman"/>
          <w:sz w:val="24"/>
          <w:szCs w:val="24"/>
        </w:rPr>
        <w:t xml:space="preserve"> </w:t>
      </w:r>
      <w:r w:rsidR="00AE3DE9" w:rsidRPr="00E226EB" w:rsidDel="00491861">
        <w:rPr>
          <w:rFonts w:ascii="Times New Roman" w:hAnsi="Times New Roman" w:cs="Times New Roman"/>
          <w:sz w:val="24"/>
          <w:szCs w:val="24"/>
        </w:rPr>
        <w:t>=</w:t>
      </w:r>
      <w:r w:rsidR="00AE3DE9">
        <w:rPr>
          <w:rFonts w:ascii="Times New Roman" w:hAnsi="Times New Roman" w:cs="Times New Roman"/>
          <w:sz w:val="24"/>
          <w:szCs w:val="24"/>
        </w:rPr>
        <w:t xml:space="preserve"> </w:t>
      </w:r>
      <w:r>
        <w:rPr>
          <w:rFonts w:ascii="Times New Roman" w:hAnsi="Times New Roman" w:cs="Times New Roman"/>
          <w:sz w:val="24"/>
          <w:szCs w:val="24"/>
        </w:rPr>
        <w:t>A</w:t>
      </w:r>
      <w:r w:rsidR="00AE3DE9">
        <w:rPr>
          <w:rFonts w:ascii="Times New Roman" w:hAnsi="Times New Roman" w:cs="Times New Roman"/>
          <w:sz w:val="24"/>
          <w:szCs w:val="24"/>
        </w:rPr>
        <w:t xml:space="preserve"> + </w:t>
      </w:r>
      <w:r>
        <w:rPr>
          <w:rFonts w:ascii="Times New Roman" w:hAnsi="Times New Roman" w:cs="Times New Roman"/>
          <w:sz w:val="24"/>
          <w:szCs w:val="24"/>
        </w:rPr>
        <w:t>B</w:t>
      </w:r>
    </w:p>
    <w:p w14:paraId="7155725C" w14:textId="77777777" w:rsidR="00AE3DE9" w:rsidRDefault="00AE3DE9" w:rsidP="00AE3DE9">
      <w:pPr>
        <w:spacing w:after="0" w:line="240" w:lineRule="auto"/>
        <w:ind w:left="720"/>
        <w:jc w:val="both"/>
        <w:rPr>
          <w:rFonts w:ascii="Times New Roman" w:hAnsi="Times New Roman" w:cs="Times New Roman"/>
          <w:sz w:val="24"/>
          <w:szCs w:val="24"/>
        </w:rPr>
      </w:pPr>
    </w:p>
    <w:p w14:paraId="727C7ADB" w14:textId="33FD82C6" w:rsidR="00AE3DE9" w:rsidRDefault="00B40678" w:rsidP="00AE3DE9">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Laukā “Neatbilstības apjoms” p</w:t>
      </w:r>
      <w:r w:rsidR="00AE3DE9" w:rsidRPr="00AE3DE9">
        <w:rPr>
          <w:rFonts w:ascii="Times New Roman" w:hAnsi="Times New Roman" w:cs="Times New Roman"/>
          <w:sz w:val="24"/>
          <w:szCs w:val="24"/>
        </w:rPr>
        <w:t>ubliskais finansējums (</w:t>
      </w:r>
      <w:proofErr w:type="spellStart"/>
      <w:r w:rsidR="00AE3DE9" w:rsidRPr="00AE3DE9">
        <w:rPr>
          <w:rFonts w:ascii="Times New Roman" w:hAnsi="Times New Roman" w:cs="Times New Roman"/>
          <w:i/>
          <w:sz w:val="24"/>
          <w:szCs w:val="24"/>
        </w:rPr>
        <w:t>Public</w:t>
      </w:r>
      <w:proofErr w:type="spellEnd"/>
      <w:r w:rsidR="00AE3DE9" w:rsidRPr="00AE3DE9">
        <w:rPr>
          <w:rFonts w:ascii="Times New Roman" w:hAnsi="Times New Roman" w:cs="Times New Roman"/>
          <w:i/>
          <w:sz w:val="24"/>
          <w:szCs w:val="24"/>
        </w:rPr>
        <w:t xml:space="preserve"> </w:t>
      </w:r>
      <w:proofErr w:type="spellStart"/>
      <w:r w:rsidR="00AE3DE9" w:rsidRPr="00AE3DE9">
        <w:rPr>
          <w:rFonts w:ascii="Times New Roman" w:hAnsi="Times New Roman" w:cs="Times New Roman"/>
          <w:i/>
          <w:sz w:val="24"/>
          <w:szCs w:val="24"/>
        </w:rPr>
        <w:t>contribution</w:t>
      </w:r>
      <w:proofErr w:type="spellEnd"/>
      <w:r w:rsidR="00AE3DE9" w:rsidRPr="00AE3DE9">
        <w:rPr>
          <w:rFonts w:ascii="Times New Roman" w:hAnsi="Times New Roman" w:cs="Times New Roman"/>
          <w:sz w:val="24"/>
          <w:szCs w:val="24"/>
        </w:rPr>
        <w:t>)</w:t>
      </w:r>
      <w:r w:rsidR="00AE3DE9">
        <w:rPr>
          <w:rFonts w:ascii="Times New Roman" w:hAnsi="Times New Roman" w:cs="Times New Roman"/>
          <w:sz w:val="24"/>
          <w:szCs w:val="24"/>
        </w:rPr>
        <w:t xml:space="preserve"> </w:t>
      </w:r>
      <w:r w:rsidR="00AE3DE9" w:rsidRPr="00AE3DE9">
        <w:rPr>
          <w:rFonts w:ascii="Times New Roman" w:hAnsi="Times New Roman" w:cs="Times New Roman"/>
          <w:sz w:val="24"/>
          <w:szCs w:val="24"/>
        </w:rPr>
        <w:t>iekļauj sevī ES finansējumu, VB finansējumu, VBDP, kā arī pašvaldības finansējumu vai privāto finansējumu</w:t>
      </w:r>
      <w:r w:rsidR="00AE3DE9">
        <w:rPr>
          <w:rFonts w:ascii="Times New Roman" w:hAnsi="Times New Roman" w:cs="Times New Roman"/>
          <w:sz w:val="24"/>
          <w:szCs w:val="24"/>
        </w:rPr>
        <w:t>.</w:t>
      </w:r>
    </w:p>
    <w:p w14:paraId="75651D1C" w14:textId="6F823D74" w:rsidR="00AE3DE9" w:rsidRDefault="00AE3DE9" w:rsidP="00AE3DE9">
      <w:pPr>
        <w:spacing w:after="0" w:line="240" w:lineRule="auto"/>
        <w:ind w:firstLine="426"/>
        <w:jc w:val="both"/>
        <w:rPr>
          <w:rFonts w:ascii="Times New Roman" w:hAnsi="Times New Roman" w:cs="Times New Roman"/>
          <w:sz w:val="24"/>
          <w:szCs w:val="24"/>
        </w:rPr>
      </w:pPr>
      <w:r w:rsidRPr="00E226EB" w:rsidDel="00491861">
        <w:rPr>
          <w:rFonts w:ascii="Times New Roman" w:hAnsi="Times New Roman" w:cs="Times New Roman"/>
          <w:sz w:val="24"/>
          <w:szCs w:val="24"/>
        </w:rPr>
        <w:t>Kopējai noziņotajai summai jāietver arī privāto finansējumu. Ja nav privātā finansējuma, tad lauku „</w:t>
      </w:r>
      <w:proofErr w:type="spellStart"/>
      <w:r w:rsidRPr="00AE3DE9">
        <w:rPr>
          <w:rFonts w:ascii="Times New Roman" w:hAnsi="Times New Roman" w:cs="Times New Roman"/>
          <w:i/>
          <w:sz w:val="24"/>
          <w:szCs w:val="24"/>
        </w:rPr>
        <w:t>Private</w:t>
      </w:r>
      <w:proofErr w:type="spellEnd"/>
      <w:r w:rsidRPr="00AE3DE9">
        <w:rPr>
          <w:rFonts w:ascii="Times New Roman" w:hAnsi="Times New Roman" w:cs="Times New Roman"/>
          <w:i/>
          <w:sz w:val="24"/>
          <w:szCs w:val="24"/>
        </w:rPr>
        <w:t xml:space="preserve"> </w:t>
      </w:r>
      <w:proofErr w:type="spellStart"/>
      <w:r w:rsidRPr="00AE3DE9">
        <w:rPr>
          <w:rFonts w:ascii="Times New Roman" w:hAnsi="Times New Roman" w:cs="Times New Roman"/>
          <w:i/>
          <w:sz w:val="24"/>
          <w:szCs w:val="24"/>
        </w:rPr>
        <w:t>share</w:t>
      </w:r>
      <w:proofErr w:type="spellEnd"/>
      <w:r w:rsidRPr="00E226EB" w:rsidDel="00491861">
        <w:rPr>
          <w:rFonts w:ascii="Times New Roman" w:hAnsi="Times New Roman" w:cs="Times New Roman"/>
          <w:sz w:val="24"/>
          <w:szCs w:val="24"/>
        </w:rPr>
        <w:t>” var atstāt neaizpildītu.</w:t>
      </w:r>
    </w:p>
    <w:p w14:paraId="6AEF8C57" w14:textId="77777777" w:rsidR="00AE3DE9" w:rsidRDefault="00AE3DE9" w:rsidP="00AE3DE9">
      <w:pPr>
        <w:spacing w:after="0" w:line="240" w:lineRule="auto"/>
        <w:ind w:firstLine="426"/>
        <w:jc w:val="both"/>
        <w:rPr>
          <w:rFonts w:ascii="Times New Roman" w:hAnsi="Times New Roman" w:cs="Times New Roman"/>
          <w:sz w:val="24"/>
          <w:szCs w:val="24"/>
        </w:rPr>
      </w:pPr>
    </w:p>
    <w:p w14:paraId="55AFEE48" w14:textId="0052B738" w:rsidR="00F42732" w:rsidRDefault="00F42732" w:rsidP="00B2076F">
      <w:pPr>
        <w:spacing w:after="120" w:line="240" w:lineRule="auto"/>
        <w:ind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Ja lietotājs piekrīt no sadaļas Nr.4 “</w:t>
      </w:r>
      <w:r>
        <w:rPr>
          <w:rFonts w:ascii="Times New Roman" w:hAnsi="Times New Roman" w:cs="Times New Roman"/>
          <w:sz w:val="24"/>
          <w:szCs w:val="24"/>
        </w:rPr>
        <w:t>Izdevumu apjoms</w:t>
      </w:r>
      <w:r>
        <w:rPr>
          <w:rFonts w:ascii="Times New Roman" w:eastAsia="Calibri" w:hAnsi="Times New Roman" w:cs="Times New Roman"/>
          <w:sz w:val="24"/>
          <w:szCs w:val="24"/>
        </w:rPr>
        <w:t>” pārkopēt summas uz sadaļu Nr.8 “</w:t>
      </w:r>
      <w:r w:rsidRPr="006E744D">
        <w:rPr>
          <w:rFonts w:ascii="Times New Roman" w:eastAsia="Calibri" w:hAnsi="Times New Roman" w:cs="Times New Roman"/>
          <w:sz w:val="24"/>
          <w:szCs w:val="24"/>
        </w:rPr>
        <w:t>I</w:t>
      </w:r>
      <w:r>
        <w:rPr>
          <w:rFonts w:ascii="Times New Roman" w:eastAsia="Calibri" w:hAnsi="Times New Roman" w:cs="Times New Roman"/>
          <w:sz w:val="24"/>
          <w:szCs w:val="24"/>
        </w:rPr>
        <w:t xml:space="preserve">zdevumi”, sistēma automātiski mainīs summas, kas iepriekš tika ievadītas sadaļā Nr.8. </w:t>
      </w:r>
    </w:p>
    <w:p w14:paraId="79C57BA7" w14:textId="77777777" w:rsidR="00CD217C" w:rsidRDefault="00CD217C" w:rsidP="00B2076F">
      <w:pPr>
        <w:spacing w:after="120" w:line="240" w:lineRule="auto"/>
        <w:ind w:firstLine="426"/>
        <w:jc w:val="both"/>
        <w:rPr>
          <w:rFonts w:ascii="Times New Roman" w:eastAsia="Calibri" w:hAnsi="Times New Roman" w:cs="Times New Roman"/>
          <w:sz w:val="24"/>
          <w:szCs w:val="24"/>
        </w:rPr>
      </w:pPr>
    </w:p>
    <w:p w14:paraId="59552742" w14:textId="25F5B678" w:rsidR="00F42732" w:rsidRDefault="00F42732" w:rsidP="00B2076F">
      <w:pPr>
        <w:pStyle w:val="ListParagraph"/>
        <w:numPr>
          <w:ilvl w:val="0"/>
          <w:numId w:val="1"/>
        </w:numPr>
        <w:spacing w:after="0" w:line="240" w:lineRule="auto"/>
        <w:ind w:left="426" w:hanging="426"/>
        <w:jc w:val="both"/>
        <w:rPr>
          <w:rFonts w:ascii="Times New Roman" w:hAnsi="Times New Roman" w:cs="Times New Roman"/>
          <w:sz w:val="24"/>
          <w:szCs w:val="24"/>
        </w:rPr>
      </w:pPr>
      <w:r w:rsidRPr="002C71A7">
        <w:rPr>
          <w:rFonts w:ascii="Times New Roman" w:hAnsi="Times New Roman" w:cs="Times New Roman"/>
          <w:sz w:val="24"/>
          <w:szCs w:val="24"/>
        </w:rPr>
        <w:t>Sadaļā Nr.6</w:t>
      </w:r>
      <w:r w:rsidR="00365EDB">
        <w:rPr>
          <w:rFonts w:ascii="Times New Roman" w:hAnsi="Times New Roman" w:cs="Times New Roman"/>
          <w:sz w:val="24"/>
          <w:szCs w:val="24"/>
        </w:rPr>
        <w:t xml:space="preserve"> </w:t>
      </w:r>
      <w:r w:rsidRPr="002C71A7">
        <w:rPr>
          <w:rFonts w:ascii="Times New Roman" w:hAnsi="Times New Roman" w:cs="Times New Roman"/>
          <w:sz w:val="24"/>
          <w:szCs w:val="24"/>
        </w:rPr>
        <w:t>„Neatbilstība” laukā</w:t>
      </w:r>
      <w:r>
        <w:rPr>
          <w:rFonts w:ascii="Times New Roman" w:hAnsi="Times New Roman" w:cs="Times New Roman"/>
          <w:sz w:val="24"/>
          <w:szCs w:val="24"/>
        </w:rPr>
        <w:t xml:space="preserve"> Nr.6.8.</w:t>
      </w:r>
      <w:r w:rsidR="00365EDB">
        <w:rPr>
          <w:rFonts w:ascii="Times New Roman" w:hAnsi="Times New Roman" w:cs="Times New Roman"/>
          <w:sz w:val="24"/>
          <w:szCs w:val="24"/>
        </w:rPr>
        <w:t xml:space="preserve"> </w:t>
      </w:r>
      <w:r>
        <w:rPr>
          <w:rFonts w:ascii="Times New Roman" w:hAnsi="Times New Roman" w:cs="Times New Roman"/>
          <w:sz w:val="24"/>
          <w:szCs w:val="24"/>
        </w:rPr>
        <w:t>“Neatbilstības veids” ir jāizvēlas no klasifikatora neatbilstības kategorij</w:t>
      </w:r>
      <w:r w:rsidR="00FB1507">
        <w:rPr>
          <w:rFonts w:ascii="Times New Roman" w:hAnsi="Times New Roman" w:cs="Times New Roman"/>
          <w:sz w:val="24"/>
          <w:szCs w:val="24"/>
        </w:rPr>
        <w:t>a</w:t>
      </w:r>
      <w:r>
        <w:rPr>
          <w:rFonts w:ascii="Times New Roman" w:hAnsi="Times New Roman" w:cs="Times New Roman"/>
          <w:sz w:val="24"/>
          <w:szCs w:val="24"/>
        </w:rPr>
        <w:t xml:space="preserve"> un veid</w:t>
      </w:r>
      <w:r w:rsidR="00FB1507">
        <w:rPr>
          <w:rFonts w:ascii="Times New Roman" w:hAnsi="Times New Roman" w:cs="Times New Roman"/>
          <w:sz w:val="24"/>
          <w:szCs w:val="24"/>
        </w:rPr>
        <w:t>s</w:t>
      </w:r>
      <w:r>
        <w:rPr>
          <w:rFonts w:ascii="Times New Roman" w:hAnsi="Times New Roman" w:cs="Times New Roman"/>
          <w:sz w:val="24"/>
          <w:szCs w:val="24"/>
        </w:rPr>
        <w:t>. Kategorij</w:t>
      </w:r>
      <w:r w:rsidR="00153562">
        <w:rPr>
          <w:rFonts w:ascii="Times New Roman" w:hAnsi="Times New Roman" w:cs="Times New Roman"/>
          <w:sz w:val="24"/>
          <w:szCs w:val="24"/>
        </w:rPr>
        <w:t>ā</w:t>
      </w:r>
      <w:r>
        <w:rPr>
          <w:rFonts w:ascii="Times New Roman" w:hAnsi="Times New Roman" w:cs="Times New Roman"/>
          <w:sz w:val="24"/>
          <w:szCs w:val="24"/>
        </w:rPr>
        <w:t xml:space="preserve"> “Publiskais iepirkums” (T40) ir iespēja izvēlēties neatbilstības veidu, kas atbilst Eiropas Komisijas 2013.gada 19.decembra vadlīnijām </w:t>
      </w:r>
      <w:r w:rsidRPr="00AA0B53">
        <w:rPr>
          <w:rFonts w:ascii="Times New Roman" w:hAnsi="Times New Roman" w:cs="Times New Roman"/>
          <w:sz w:val="24"/>
          <w:szCs w:val="24"/>
        </w:rPr>
        <w:t>par finanšu korekcijām iepirkumu pārkāpumu</w:t>
      </w:r>
      <w:r>
        <w:rPr>
          <w:rFonts w:ascii="Times New Roman" w:hAnsi="Times New Roman" w:cs="Times New Roman"/>
          <w:sz w:val="24"/>
          <w:szCs w:val="24"/>
        </w:rPr>
        <w:t xml:space="preserve"> gadījumā</w:t>
      </w:r>
      <w:r w:rsidR="00B2076F">
        <w:rPr>
          <w:rStyle w:val="FootnoteReference"/>
          <w:rFonts w:ascii="Times New Roman" w:hAnsi="Times New Roman" w:cs="Times New Roman"/>
          <w:sz w:val="24"/>
          <w:szCs w:val="24"/>
        </w:rPr>
        <w:footnoteReference w:id="2"/>
      </w:r>
      <w:r>
        <w:rPr>
          <w:rFonts w:ascii="Times New Roman" w:hAnsi="Times New Roman" w:cs="Times New Roman"/>
          <w:sz w:val="24"/>
          <w:szCs w:val="24"/>
        </w:rPr>
        <w:t xml:space="preserve"> un kas iestrādāts šo vadlīniju 5.pielikumā.</w:t>
      </w:r>
    </w:p>
    <w:p w14:paraId="32CFE66B" w14:textId="77777777" w:rsidR="00F42732" w:rsidRDefault="00F42732" w:rsidP="00F42732">
      <w:pPr>
        <w:spacing w:after="0" w:line="240" w:lineRule="auto"/>
        <w:jc w:val="both"/>
        <w:rPr>
          <w:rFonts w:ascii="Times New Roman" w:hAnsi="Times New Roman" w:cs="Times New Roman"/>
          <w:sz w:val="24"/>
          <w:szCs w:val="24"/>
        </w:rPr>
      </w:pPr>
    </w:p>
    <w:p w14:paraId="6CC76FBC" w14:textId="5D410310" w:rsidR="00F42732" w:rsidRDefault="00F42732" w:rsidP="00B2076F">
      <w:pPr>
        <w:spacing w:after="0" w:line="240" w:lineRule="auto"/>
        <w:ind w:firstLine="426"/>
        <w:jc w:val="both"/>
        <w:rPr>
          <w:rFonts w:ascii="Times New Roman" w:hAnsi="Times New Roman" w:cs="Times New Roman"/>
          <w:sz w:val="24"/>
          <w:szCs w:val="24"/>
        </w:rPr>
      </w:pPr>
      <w:r w:rsidRPr="0025569D">
        <w:rPr>
          <w:rFonts w:ascii="Times New Roman" w:hAnsi="Times New Roman" w:cs="Times New Roman"/>
          <w:sz w:val="24"/>
          <w:szCs w:val="24"/>
        </w:rPr>
        <w:t>Sadaļā Nr.6</w:t>
      </w:r>
      <w:r>
        <w:rPr>
          <w:rFonts w:ascii="Times New Roman" w:hAnsi="Times New Roman" w:cs="Times New Roman"/>
          <w:sz w:val="24"/>
          <w:szCs w:val="24"/>
        </w:rPr>
        <w:t xml:space="preserve">  </w:t>
      </w:r>
      <w:r w:rsidRPr="0025569D">
        <w:rPr>
          <w:rFonts w:ascii="Times New Roman" w:hAnsi="Times New Roman" w:cs="Times New Roman"/>
          <w:sz w:val="24"/>
          <w:szCs w:val="24"/>
        </w:rPr>
        <w:t xml:space="preserve">laukā </w:t>
      </w:r>
      <w:r w:rsidR="0066299F">
        <w:rPr>
          <w:rFonts w:ascii="Times New Roman" w:hAnsi="Times New Roman" w:cs="Times New Roman"/>
          <w:sz w:val="24"/>
          <w:szCs w:val="24"/>
        </w:rPr>
        <w:t xml:space="preserve"> Nr.6.12 </w:t>
      </w:r>
      <w:r w:rsidRPr="0025569D">
        <w:rPr>
          <w:rFonts w:ascii="Times New Roman" w:hAnsi="Times New Roman" w:cs="Times New Roman"/>
          <w:sz w:val="24"/>
          <w:szCs w:val="24"/>
        </w:rPr>
        <w:t xml:space="preserve">„Neatbilstības </w:t>
      </w:r>
      <w:r w:rsidR="0066299F">
        <w:rPr>
          <w:rFonts w:ascii="Times New Roman" w:hAnsi="Times New Roman" w:cs="Times New Roman"/>
          <w:sz w:val="24"/>
          <w:szCs w:val="24"/>
        </w:rPr>
        <w:t>klasifikācija</w:t>
      </w:r>
      <w:r w:rsidRPr="0025569D">
        <w:rPr>
          <w:rFonts w:ascii="Times New Roman" w:hAnsi="Times New Roman" w:cs="Times New Roman"/>
          <w:sz w:val="24"/>
          <w:szCs w:val="24"/>
        </w:rPr>
        <w:t xml:space="preserve">” OBLIGĀTI jāizvēlas </w:t>
      </w:r>
      <w:r w:rsidR="0066299F">
        <w:rPr>
          <w:rFonts w:ascii="Times New Roman" w:hAnsi="Times New Roman" w:cs="Times New Roman"/>
          <w:sz w:val="24"/>
          <w:szCs w:val="24"/>
        </w:rPr>
        <w:t xml:space="preserve">vērtība </w:t>
      </w:r>
      <w:r w:rsidRPr="0025569D">
        <w:rPr>
          <w:rFonts w:ascii="Times New Roman" w:hAnsi="Times New Roman" w:cs="Times New Roman"/>
          <w:sz w:val="24"/>
          <w:szCs w:val="24"/>
        </w:rPr>
        <w:t>no klasifikatora</w:t>
      </w:r>
      <w:r w:rsidR="0066299F">
        <w:rPr>
          <w:rFonts w:ascii="Times New Roman" w:hAnsi="Times New Roman" w:cs="Times New Roman"/>
          <w:sz w:val="24"/>
          <w:szCs w:val="24"/>
        </w:rPr>
        <w:t>. N</w:t>
      </w:r>
      <w:r w:rsidRPr="0025569D">
        <w:rPr>
          <w:rFonts w:ascii="Times New Roman" w:hAnsi="Times New Roman" w:cs="Times New Roman"/>
          <w:sz w:val="24"/>
          <w:szCs w:val="24"/>
        </w:rPr>
        <w:t>eatbilstība var tikt klasificēta šādi:</w:t>
      </w:r>
    </w:p>
    <w:p w14:paraId="3A166979" w14:textId="77777777" w:rsidR="00F42732" w:rsidRPr="004B0564" w:rsidRDefault="00F42732" w:rsidP="00F42732">
      <w:pPr>
        <w:numPr>
          <w:ilvl w:val="0"/>
          <w:numId w:val="4"/>
        </w:numPr>
        <w:spacing w:after="120" w:line="240" w:lineRule="auto"/>
        <w:contextualSpacing/>
        <w:jc w:val="both"/>
        <w:rPr>
          <w:rFonts w:ascii="Times New Roman" w:eastAsia="Calibri" w:hAnsi="Times New Roman" w:cs="Times New Roman"/>
          <w:sz w:val="24"/>
          <w:szCs w:val="24"/>
        </w:rPr>
      </w:pPr>
      <w:r w:rsidRPr="004B0564">
        <w:rPr>
          <w:rFonts w:ascii="Times New Roman" w:eastAsia="Calibri" w:hAnsi="Times New Roman" w:cs="Times New Roman"/>
          <w:sz w:val="24"/>
          <w:szCs w:val="24"/>
        </w:rPr>
        <w:t xml:space="preserve">SIG – iespējama neatbilstība. Šādi gadījumi netiek ziņoti </w:t>
      </w:r>
      <w:r>
        <w:rPr>
          <w:rFonts w:ascii="Times New Roman" w:eastAsia="Calibri" w:hAnsi="Times New Roman" w:cs="Times New Roman"/>
          <w:sz w:val="24"/>
          <w:szCs w:val="24"/>
        </w:rPr>
        <w:t>EK/</w:t>
      </w:r>
      <w:r w:rsidRPr="004B0564">
        <w:rPr>
          <w:rFonts w:ascii="Times New Roman" w:eastAsia="Calibri" w:hAnsi="Times New Roman" w:cs="Times New Roman"/>
          <w:sz w:val="24"/>
          <w:szCs w:val="24"/>
        </w:rPr>
        <w:t>OLAF</w:t>
      </w:r>
      <w:r>
        <w:rPr>
          <w:rFonts w:ascii="Times New Roman" w:eastAsia="Calibri" w:hAnsi="Times New Roman" w:cs="Times New Roman"/>
          <w:sz w:val="24"/>
          <w:szCs w:val="24"/>
        </w:rPr>
        <w:t xml:space="preserve"> un ir izmantojami ES fondu vadībā iesaistīto institūciju vajadzībām.</w:t>
      </w:r>
      <w:r w:rsidRPr="004B0564">
        <w:rPr>
          <w:rFonts w:ascii="Times New Roman" w:eastAsia="Calibri" w:hAnsi="Times New Roman" w:cs="Times New Roman"/>
          <w:sz w:val="24"/>
          <w:szCs w:val="24"/>
        </w:rPr>
        <w:t xml:space="preserve"> </w:t>
      </w:r>
    </w:p>
    <w:p w14:paraId="08D90946" w14:textId="221F6890" w:rsidR="00F42732" w:rsidRPr="009E0872" w:rsidRDefault="00F42732" w:rsidP="00F42732">
      <w:pPr>
        <w:spacing w:after="120" w:line="240" w:lineRule="auto"/>
        <w:ind w:left="108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Taču </w:t>
      </w:r>
      <w:r w:rsidRPr="004B0564">
        <w:rPr>
          <w:rFonts w:ascii="Times New Roman" w:eastAsia="Calibri" w:hAnsi="Times New Roman" w:cs="Times New Roman"/>
          <w:sz w:val="24"/>
          <w:szCs w:val="24"/>
        </w:rPr>
        <w:t>gad</w:t>
      </w:r>
      <w:r w:rsidRPr="00113196">
        <w:rPr>
          <w:rFonts w:ascii="Times New Roman" w:eastAsia="Calibri" w:hAnsi="Times New Roman" w:cs="Times New Roman"/>
          <w:sz w:val="24"/>
          <w:szCs w:val="24"/>
        </w:rPr>
        <w:t>ījum</w:t>
      </w:r>
      <w:r>
        <w:rPr>
          <w:rFonts w:ascii="Times New Roman" w:eastAsia="Calibri" w:hAnsi="Times New Roman" w:cs="Times New Roman"/>
          <w:sz w:val="24"/>
          <w:szCs w:val="24"/>
        </w:rPr>
        <w:t>os</w:t>
      </w:r>
      <w:r w:rsidRPr="00113196">
        <w:rPr>
          <w:rFonts w:ascii="Times New Roman" w:eastAsia="Calibri" w:hAnsi="Times New Roman" w:cs="Times New Roman"/>
          <w:sz w:val="24"/>
          <w:szCs w:val="24"/>
        </w:rPr>
        <w:t xml:space="preserve">, </w:t>
      </w:r>
      <w:r>
        <w:rPr>
          <w:rFonts w:ascii="Times New Roman" w:eastAsia="Calibri" w:hAnsi="Times New Roman" w:cs="Times New Roman"/>
          <w:sz w:val="24"/>
          <w:szCs w:val="24"/>
        </w:rPr>
        <w:t>kad</w:t>
      </w:r>
      <w:r w:rsidRPr="00113196">
        <w:rPr>
          <w:rFonts w:ascii="Times New Roman" w:eastAsia="Calibri" w:hAnsi="Times New Roman" w:cs="Times New Roman"/>
          <w:sz w:val="24"/>
          <w:szCs w:val="24"/>
        </w:rPr>
        <w:t xml:space="preserve"> informācija par iespējam</w:t>
      </w:r>
      <w:r>
        <w:rPr>
          <w:rFonts w:ascii="Times New Roman" w:eastAsia="Calibri" w:hAnsi="Times New Roman" w:cs="Times New Roman"/>
          <w:sz w:val="24"/>
          <w:szCs w:val="24"/>
        </w:rPr>
        <w:t>u</w:t>
      </w:r>
      <w:r w:rsidRPr="00113196">
        <w:rPr>
          <w:rFonts w:ascii="Times New Roman" w:eastAsia="Calibri" w:hAnsi="Times New Roman" w:cs="Times New Roman"/>
          <w:sz w:val="24"/>
          <w:szCs w:val="24"/>
        </w:rPr>
        <w:t xml:space="preserve"> neatbilstību ir pietiekama, lai pieņemtu lēmumu par neatbilstību, ziņojumā ir jāprecizē neatbilstības veids, </w:t>
      </w:r>
      <w:r w:rsidRPr="009E0872">
        <w:rPr>
          <w:rFonts w:ascii="Times New Roman" w:eastAsia="Calibri" w:hAnsi="Times New Roman" w:cs="Times New Roman"/>
          <w:sz w:val="24"/>
          <w:szCs w:val="24"/>
        </w:rPr>
        <w:t>nomainot to uz IRQ2 vai IRQ3</w:t>
      </w:r>
      <w:r>
        <w:rPr>
          <w:rFonts w:ascii="Times New Roman" w:eastAsia="Calibri" w:hAnsi="Times New Roman" w:cs="Times New Roman"/>
          <w:sz w:val="24"/>
          <w:szCs w:val="24"/>
        </w:rPr>
        <w:t>,</w:t>
      </w:r>
      <w:r w:rsidRPr="009E0872">
        <w:rPr>
          <w:rFonts w:ascii="Times New Roman" w:eastAsia="Calibri" w:hAnsi="Times New Roman" w:cs="Times New Roman"/>
          <w:sz w:val="24"/>
          <w:szCs w:val="24"/>
        </w:rPr>
        <w:t xml:space="preserve"> un </w:t>
      </w:r>
      <w:proofErr w:type="spellStart"/>
      <w:r w:rsidRPr="009E0872">
        <w:rPr>
          <w:rFonts w:ascii="Times New Roman" w:eastAsia="Calibri" w:hAnsi="Times New Roman" w:cs="Times New Roman"/>
          <w:sz w:val="24"/>
          <w:szCs w:val="24"/>
        </w:rPr>
        <w:t>jānosūta</w:t>
      </w:r>
      <w:proofErr w:type="spellEnd"/>
      <w:r w:rsidRPr="009E0872">
        <w:rPr>
          <w:rFonts w:ascii="Times New Roman" w:eastAsia="Calibri" w:hAnsi="Times New Roman" w:cs="Times New Roman"/>
          <w:sz w:val="24"/>
          <w:szCs w:val="24"/>
        </w:rPr>
        <w:t xml:space="preserve"> </w:t>
      </w:r>
      <w:r w:rsidR="0066299F">
        <w:rPr>
          <w:rFonts w:ascii="Times New Roman" w:eastAsia="Calibri" w:hAnsi="Times New Roman" w:cs="Times New Roman"/>
          <w:sz w:val="24"/>
          <w:szCs w:val="24"/>
        </w:rPr>
        <w:t>EK/</w:t>
      </w:r>
      <w:r w:rsidRPr="009E0872">
        <w:rPr>
          <w:rFonts w:ascii="Times New Roman" w:eastAsia="Calibri" w:hAnsi="Times New Roman" w:cs="Times New Roman"/>
          <w:sz w:val="24"/>
          <w:szCs w:val="24"/>
        </w:rPr>
        <w:t xml:space="preserve">OLAF.  </w:t>
      </w:r>
    </w:p>
    <w:p w14:paraId="09456C65" w14:textId="77777777" w:rsidR="00F42732" w:rsidRPr="004560E0" w:rsidRDefault="00F42732" w:rsidP="00F42732">
      <w:pPr>
        <w:numPr>
          <w:ilvl w:val="0"/>
          <w:numId w:val="4"/>
        </w:numPr>
        <w:spacing w:after="120" w:line="240" w:lineRule="auto"/>
        <w:contextualSpacing/>
        <w:jc w:val="both"/>
        <w:rPr>
          <w:rFonts w:ascii="Times New Roman" w:eastAsia="Calibri" w:hAnsi="Times New Roman" w:cs="Times New Roman"/>
          <w:sz w:val="24"/>
          <w:szCs w:val="24"/>
        </w:rPr>
      </w:pPr>
      <w:r w:rsidRPr="004E6C0B">
        <w:rPr>
          <w:rFonts w:ascii="Times New Roman" w:eastAsia="Calibri" w:hAnsi="Times New Roman" w:cs="Times New Roman"/>
          <w:b/>
          <w:sz w:val="24"/>
          <w:szCs w:val="24"/>
        </w:rPr>
        <w:t>IRQ2</w:t>
      </w:r>
      <w:r w:rsidRPr="004E6C0B">
        <w:rPr>
          <w:rFonts w:ascii="Times New Roman" w:eastAsia="Calibri" w:hAnsi="Times New Roman" w:cs="Times New Roman"/>
          <w:sz w:val="24"/>
          <w:szCs w:val="24"/>
        </w:rPr>
        <w:t xml:space="preserve"> – visas neatbilstības, kas nav saistītas ar krāpšanu vai aizdomām par krāpšanu, piemēram,</w:t>
      </w:r>
      <w:r w:rsidRPr="004560E0">
        <w:rPr>
          <w:rFonts w:ascii="Times New Roman" w:eastAsia="Calibri" w:hAnsi="Times New Roman" w:cs="Times New Roman"/>
          <w:sz w:val="24"/>
          <w:szCs w:val="24"/>
        </w:rPr>
        <w:t xml:space="preserve"> maksājuma pieprasījumā iekļautas neattiecināmas izmaksas;</w:t>
      </w:r>
    </w:p>
    <w:p w14:paraId="475C0761" w14:textId="77777777" w:rsidR="00F42732" w:rsidRPr="00B55452" w:rsidRDefault="00F42732" w:rsidP="00F42732">
      <w:pPr>
        <w:numPr>
          <w:ilvl w:val="0"/>
          <w:numId w:val="4"/>
        </w:numPr>
        <w:spacing w:after="120" w:line="240" w:lineRule="auto"/>
        <w:contextualSpacing/>
        <w:jc w:val="both"/>
        <w:rPr>
          <w:rFonts w:ascii="Times New Roman" w:eastAsia="Calibri" w:hAnsi="Times New Roman" w:cs="Times New Roman"/>
          <w:sz w:val="24"/>
          <w:szCs w:val="24"/>
        </w:rPr>
      </w:pPr>
      <w:r w:rsidRPr="00B55452">
        <w:rPr>
          <w:rFonts w:ascii="Times New Roman" w:eastAsia="Calibri" w:hAnsi="Times New Roman" w:cs="Times New Roman"/>
          <w:b/>
          <w:sz w:val="24"/>
          <w:szCs w:val="24"/>
        </w:rPr>
        <w:t>IRQ3</w:t>
      </w:r>
      <w:r w:rsidRPr="00B55452">
        <w:rPr>
          <w:rFonts w:ascii="Times New Roman" w:eastAsia="Calibri" w:hAnsi="Times New Roman" w:cs="Times New Roman"/>
          <w:sz w:val="24"/>
          <w:szCs w:val="24"/>
        </w:rPr>
        <w:t xml:space="preserve"> – aizdomas par krāpšanu, piemēram, iesniegti viltoti dokumenti;</w:t>
      </w:r>
    </w:p>
    <w:p w14:paraId="3401FF62" w14:textId="62D00332" w:rsidR="00F42732" w:rsidRDefault="00F42732" w:rsidP="00B2076F">
      <w:pPr>
        <w:numPr>
          <w:ilvl w:val="0"/>
          <w:numId w:val="4"/>
        </w:numPr>
        <w:spacing w:after="120" w:line="240" w:lineRule="auto"/>
        <w:contextualSpacing/>
        <w:jc w:val="both"/>
        <w:rPr>
          <w:rFonts w:ascii="Times New Roman" w:eastAsia="Calibri" w:hAnsi="Times New Roman" w:cs="Times New Roman"/>
          <w:sz w:val="24"/>
          <w:szCs w:val="24"/>
        </w:rPr>
      </w:pPr>
      <w:r w:rsidRPr="00B55452">
        <w:rPr>
          <w:rFonts w:ascii="Times New Roman" w:eastAsia="Calibri" w:hAnsi="Times New Roman" w:cs="Times New Roman"/>
          <w:b/>
          <w:sz w:val="24"/>
          <w:szCs w:val="24"/>
        </w:rPr>
        <w:t>IRQ5</w:t>
      </w:r>
      <w:r w:rsidRPr="00B55452">
        <w:rPr>
          <w:rFonts w:ascii="Times New Roman" w:eastAsia="Calibri" w:hAnsi="Times New Roman" w:cs="Times New Roman"/>
          <w:sz w:val="24"/>
          <w:szCs w:val="24"/>
        </w:rPr>
        <w:t xml:space="preserve"> – krāpšana. Lieto gadījumos, kad </w:t>
      </w:r>
      <w:proofErr w:type="spellStart"/>
      <w:r w:rsidRPr="00B55452">
        <w:rPr>
          <w:rFonts w:ascii="Times New Roman" w:eastAsia="Calibri" w:hAnsi="Times New Roman" w:cs="Times New Roman"/>
          <w:sz w:val="24"/>
          <w:szCs w:val="24"/>
        </w:rPr>
        <w:t>tiesībsargājošā</w:t>
      </w:r>
      <w:proofErr w:type="spellEnd"/>
      <w:r w:rsidRPr="00B55452">
        <w:rPr>
          <w:rFonts w:ascii="Times New Roman" w:eastAsia="Calibri" w:hAnsi="Times New Roman" w:cs="Times New Roman"/>
          <w:sz w:val="24"/>
          <w:szCs w:val="24"/>
        </w:rPr>
        <w:t xml:space="preserve"> iestāde ir paziņojusi par galējo lēmumu par ziņo</w:t>
      </w:r>
      <w:r w:rsidRPr="004B0564">
        <w:rPr>
          <w:rFonts w:ascii="Times New Roman" w:eastAsia="Calibri" w:hAnsi="Times New Roman" w:cs="Times New Roman"/>
          <w:sz w:val="24"/>
          <w:szCs w:val="24"/>
        </w:rPr>
        <w:t xml:space="preserve">to neatbilstību, kurā apstiprināta krāpšana. Parasti šis kods būtu jāizmanto kriminālprocesa beigās. </w:t>
      </w:r>
    </w:p>
    <w:p w14:paraId="611772BF" w14:textId="77777777" w:rsidR="00B2076F" w:rsidRPr="00B2076F" w:rsidRDefault="00B2076F" w:rsidP="00B2076F">
      <w:pPr>
        <w:spacing w:after="120" w:line="240" w:lineRule="auto"/>
        <w:contextualSpacing/>
        <w:jc w:val="both"/>
        <w:rPr>
          <w:rFonts w:ascii="Times New Roman" w:eastAsia="Calibri" w:hAnsi="Times New Roman" w:cs="Times New Roman"/>
          <w:sz w:val="24"/>
          <w:szCs w:val="24"/>
        </w:rPr>
      </w:pPr>
    </w:p>
    <w:p w14:paraId="551FF9C0" w14:textId="0DF0306C" w:rsidR="0066299F" w:rsidRPr="00572C2F" w:rsidRDefault="0066299F" w:rsidP="00B2076F">
      <w:pPr>
        <w:numPr>
          <w:ilvl w:val="0"/>
          <w:numId w:val="1"/>
        </w:numPr>
        <w:spacing w:after="0" w:line="240" w:lineRule="auto"/>
        <w:ind w:left="426" w:hanging="426"/>
        <w:contextualSpacing/>
        <w:jc w:val="both"/>
        <w:rPr>
          <w:rFonts w:ascii="Times New Roman" w:hAnsi="Times New Roman" w:cs="Times New Roman"/>
          <w:sz w:val="24"/>
          <w:szCs w:val="24"/>
        </w:rPr>
      </w:pPr>
      <w:r w:rsidRPr="00113196">
        <w:rPr>
          <w:rFonts w:ascii="Times New Roman" w:eastAsia="Calibri" w:hAnsi="Times New Roman" w:cs="Times New Roman"/>
          <w:sz w:val="24"/>
          <w:szCs w:val="24"/>
        </w:rPr>
        <w:t>Lai sniegtu progresa ziņojumu</w:t>
      </w:r>
      <w:r>
        <w:rPr>
          <w:rFonts w:ascii="Times New Roman" w:eastAsia="Calibri" w:hAnsi="Times New Roman" w:cs="Times New Roman"/>
          <w:sz w:val="24"/>
          <w:szCs w:val="24"/>
        </w:rPr>
        <w:t xml:space="preserve"> (neattiecas uz neatbilstību slēgšanu, dzēšanu vai nulles paziņojumu), </w:t>
      </w:r>
      <w:r w:rsidRPr="00E226EB">
        <w:rPr>
          <w:rFonts w:ascii="Times New Roman" w:hAnsi="Times New Roman" w:cs="Times New Roman"/>
          <w:sz w:val="24"/>
          <w:szCs w:val="24"/>
        </w:rPr>
        <w:t xml:space="preserve">IMS jāizmanto </w:t>
      </w:r>
      <w:r>
        <w:rPr>
          <w:rFonts w:ascii="Times New Roman" w:hAnsi="Times New Roman" w:cs="Times New Roman"/>
          <w:sz w:val="24"/>
          <w:szCs w:val="24"/>
        </w:rPr>
        <w:t>pieprasījums aktualizēt gadījumu (</w:t>
      </w:r>
      <w:proofErr w:type="spellStart"/>
      <w:r w:rsidRPr="00113196">
        <w:rPr>
          <w:rFonts w:ascii="Times New Roman" w:eastAsia="Calibri" w:hAnsi="Times New Roman" w:cs="Times New Roman"/>
          <w:i/>
          <w:sz w:val="24"/>
          <w:szCs w:val="24"/>
        </w:rPr>
        <w:t>Request</w:t>
      </w:r>
      <w:proofErr w:type="spellEnd"/>
      <w:r w:rsidRPr="00113196">
        <w:rPr>
          <w:rFonts w:ascii="Times New Roman" w:eastAsia="Calibri" w:hAnsi="Times New Roman" w:cs="Times New Roman"/>
          <w:i/>
          <w:sz w:val="24"/>
          <w:szCs w:val="24"/>
        </w:rPr>
        <w:t xml:space="preserve"> to </w:t>
      </w:r>
      <w:proofErr w:type="spellStart"/>
      <w:r w:rsidRPr="00113196">
        <w:rPr>
          <w:rFonts w:ascii="Times New Roman" w:eastAsia="Calibri" w:hAnsi="Times New Roman" w:cs="Times New Roman"/>
          <w:i/>
          <w:sz w:val="24"/>
          <w:szCs w:val="24"/>
        </w:rPr>
        <w:t>update</w:t>
      </w:r>
      <w:proofErr w:type="spellEnd"/>
      <w:r w:rsidRPr="00113196">
        <w:rPr>
          <w:rFonts w:ascii="Times New Roman" w:eastAsia="Calibri" w:hAnsi="Times New Roman" w:cs="Times New Roman"/>
          <w:i/>
          <w:sz w:val="24"/>
          <w:szCs w:val="24"/>
        </w:rPr>
        <w:t xml:space="preserve"> a </w:t>
      </w:r>
      <w:proofErr w:type="spellStart"/>
      <w:r w:rsidRPr="00113196">
        <w:rPr>
          <w:rFonts w:ascii="Times New Roman" w:eastAsia="Calibri" w:hAnsi="Times New Roman" w:cs="Times New Roman"/>
          <w:i/>
          <w:sz w:val="24"/>
          <w:szCs w:val="24"/>
        </w:rPr>
        <w:t>case</w:t>
      </w:r>
      <w:proofErr w:type="spellEnd"/>
      <w:r w:rsidRPr="00113196">
        <w:rPr>
          <w:rFonts w:ascii="Times New Roman" w:eastAsia="Calibri" w:hAnsi="Times New Roman" w:cs="Times New Roman"/>
          <w:sz w:val="24"/>
          <w:szCs w:val="24"/>
        </w:rPr>
        <w:t xml:space="preserve">). </w:t>
      </w:r>
    </w:p>
    <w:p w14:paraId="46BD1B42" w14:textId="1DBEE6EB" w:rsidR="0066299F" w:rsidRPr="00E226EB" w:rsidRDefault="0066299F" w:rsidP="00B2076F">
      <w:pPr>
        <w:spacing w:after="0" w:line="240" w:lineRule="auto"/>
        <w:ind w:firstLine="426"/>
        <w:contextualSpacing/>
        <w:jc w:val="both"/>
        <w:rPr>
          <w:rFonts w:ascii="Times New Roman" w:hAnsi="Times New Roman" w:cs="Times New Roman"/>
          <w:sz w:val="24"/>
          <w:szCs w:val="24"/>
        </w:rPr>
      </w:pPr>
      <w:r w:rsidRPr="00113196">
        <w:rPr>
          <w:rFonts w:ascii="Times New Roman" w:eastAsia="Calibri" w:hAnsi="Times New Roman" w:cs="Times New Roman"/>
          <w:sz w:val="24"/>
          <w:szCs w:val="24"/>
        </w:rPr>
        <w:t xml:space="preserve">No gadījumu </w:t>
      </w:r>
      <w:r>
        <w:rPr>
          <w:rFonts w:ascii="Times New Roman" w:eastAsia="Calibri" w:hAnsi="Times New Roman" w:cs="Times New Roman"/>
          <w:sz w:val="24"/>
          <w:szCs w:val="24"/>
        </w:rPr>
        <w:t>(“</w:t>
      </w:r>
      <w:proofErr w:type="spellStart"/>
      <w:r w:rsidRPr="0066299F">
        <w:rPr>
          <w:rFonts w:ascii="Times New Roman" w:eastAsia="Calibri" w:hAnsi="Times New Roman" w:cs="Times New Roman"/>
          <w:i/>
          <w:sz w:val="24"/>
          <w:szCs w:val="24"/>
        </w:rPr>
        <w:t>Cases</w:t>
      </w:r>
      <w:proofErr w:type="spellEnd"/>
      <w:r>
        <w:rPr>
          <w:rFonts w:ascii="Times New Roman" w:eastAsia="Calibri" w:hAnsi="Times New Roman" w:cs="Times New Roman"/>
          <w:sz w:val="24"/>
          <w:szCs w:val="24"/>
        </w:rPr>
        <w:t xml:space="preserve">”) </w:t>
      </w:r>
      <w:r w:rsidRPr="00113196">
        <w:rPr>
          <w:rFonts w:ascii="Times New Roman" w:eastAsia="Calibri" w:hAnsi="Times New Roman" w:cs="Times New Roman"/>
          <w:sz w:val="24"/>
          <w:szCs w:val="24"/>
        </w:rPr>
        <w:t xml:space="preserve">saraksta jāizvēlas </w:t>
      </w:r>
      <w:r>
        <w:rPr>
          <w:rFonts w:ascii="Times New Roman" w:eastAsia="Calibri" w:hAnsi="Times New Roman" w:cs="Times New Roman"/>
          <w:sz w:val="24"/>
          <w:szCs w:val="24"/>
        </w:rPr>
        <w:t>gadījuma</w:t>
      </w:r>
      <w:r w:rsidRPr="00113196">
        <w:rPr>
          <w:rFonts w:ascii="Times New Roman" w:eastAsia="Calibri" w:hAnsi="Times New Roman" w:cs="Times New Roman"/>
          <w:sz w:val="24"/>
          <w:szCs w:val="24"/>
        </w:rPr>
        <w:t xml:space="preserve"> numurs (</w:t>
      </w:r>
      <w:proofErr w:type="spellStart"/>
      <w:r w:rsidRPr="00113196">
        <w:rPr>
          <w:rFonts w:ascii="Times New Roman" w:eastAsia="Calibri" w:hAnsi="Times New Roman" w:cs="Times New Roman"/>
          <w:i/>
          <w:sz w:val="24"/>
          <w:szCs w:val="24"/>
        </w:rPr>
        <w:t>Case</w:t>
      </w:r>
      <w:proofErr w:type="spellEnd"/>
      <w:r w:rsidRPr="00113196">
        <w:rPr>
          <w:rFonts w:ascii="Times New Roman" w:eastAsia="Calibri" w:hAnsi="Times New Roman" w:cs="Times New Roman"/>
          <w:i/>
          <w:sz w:val="24"/>
          <w:szCs w:val="24"/>
        </w:rPr>
        <w:t xml:space="preserve"> ID</w:t>
      </w:r>
      <w:r w:rsidRPr="00113196">
        <w:rPr>
          <w:rFonts w:ascii="Times New Roman" w:eastAsia="Calibri" w:hAnsi="Times New Roman" w:cs="Times New Roman"/>
          <w:sz w:val="24"/>
          <w:szCs w:val="24"/>
        </w:rPr>
        <w:t>)</w:t>
      </w:r>
      <w:r>
        <w:rPr>
          <w:rFonts w:ascii="Times New Roman" w:eastAsia="Calibri" w:hAnsi="Times New Roman" w:cs="Times New Roman"/>
          <w:sz w:val="24"/>
          <w:szCs w:val="24"/>
        </w:rPr>
        <w:t xml:space="preserve">, informāciju par kuru nepieciešams aktualizēt, </w:t>
      </w:r>
      <w:r w:rsidRPr="00113196">
        <w:rPr>
          <w:rFonts w:ascii="Times New Roman" w:eastAsia="Calibri" w:hAnsi="Times New Roman" w:cs="Times New Roman"/>
          <w:sz w:val="24"/>
          <w:szCs w:val="24"/>
        </w:rPr>
        <w:t>un jānospiež “</w:t>
      </w:r>
      <w:proofErr w:type="spellStart"/>
      <w:r w:rsidRPr="00113196">
        <w:rPr>
          <w:rFonts w:ascii="Times New Roman" w:eastAsia="Calibri" w:hAnsi="Times New Roman" w:cs="Times New Roman"/>
          <w:i/>
          <w:sz w:val="24"/>
          <w:szCs w:val="24"/>
        </w:rPr>
        <w:t>Update</w:t>
      </w:r>
      <w:proofErr w:type="spellEnd"/>
      <w:r w:rsidRPr="00113196">
        <w:rPr>
          <w:rFonts w:ascii="Times New Roman" w:eastAsia="Calibri" w:hAnsi="Times New Roman" w:cs="Times New Roman"/>
          <w:i/>
          <w:sz w:val="24"/>
          <w:szCs w:val="24"/>
        </w:rPr>
        <w:t xml:space="preserve"> </w:t>
      </w:r>
      <w:proofErr w:type="spellStart"/>
      <w:r w:rsidRPr="00113196">
        <w:rPr>
          <w:rFonts w:ascii="Times New Roman" w:eastAsia="Calibri" w:hAnsi="Times New Roman" w:cs="Times New Roman"/>
          <w:i/>
          <w:sz w:val="24"/>
          <w:szCs w:val="24"/>
        </w:rPr>
        <w:t>case</w:t>
      </w:r>
      <w:proofErr w:type="spellEnd"/>
      <w:r w:rsidRPr="00113196">
        <w:rPr>
          <w:rFonts w:ascii="Times New Roman" w:eastAsia="Calibri" w:hAnsi="Times New Roman" w:cs="Times New Roman"/>
          <w:sz w:val="24"/>
          <w:szCs w:val="24"/>
        </w:rPr>
        <w:t xml:space="preserve">”. </w:t>
      </w:r>
      <w:r>
        <w:rPr>
          <w:rFonts w:ascii="Times New Roman" w:hAnsi="Times New Roman" w:cs="Times New Roman"/>
          <w:sz w:val="24"/>
          <w:szCs w:val="24"/>
        </w:rPr>
        <w:t xml:space="preserve">Veicot datu aktualizēšanu, </w:t>
      </w:r>
      <w:r w:rsidRPr="00E226EB">
        <w:rPr>
          <w:rFonts w:ascii="Times New Roman" w:hAnsi="Times New Roman" w:cs="Times New Roman"/>
          <w:sz w:val="24"/>
          <w:szCs w:val="24"/>
        </w:rPr>
        <w:t xml:space="preserve">jānorāda </w:t>
      </w:r>
      <w:r w:rsidRPr="00E226EB">
        <w:rPr>
          <w:rFonts w:ascii="Times New Roman" w:hAnsi="Times New Roman" w:cs="Times New Roman"/>
          <w:sz w:val="24"/>
          <w:szCs w:val="24"/>
        </w:rPr>
        <w:lastRenderedPageBreak/>
        <w:t>aktuālais ziņošanas datums. Sadaļā „Identifikācija” lauks „Atsauces numurs – OLAF” NAV labojams. Laukā „Ceturksnis, par kuru ziņojums sastādīts” norāda tekošo vai iepriekšējo ceturksni atbilstoši izvēlnei, ko piedāvā EK/OLAF IMS sistēma</w:t>
      </w:r>
      <w:r w:rsidRPr="00E226EB">
        <w:rPr>
          <w:rFonts w:ascii="Times New Roman" w:hAnsi="Times New Roman" w:cs="Times New Roman"/>
          <w:sz w:val="24"/>
          <w:szCs w:val="24"/>
          <w:vertAlign w:val="superscript"/>
        </w:rPr>
        <w:t>.</w:t>
      </w:r>
      <w:r w:rsidRPr="00E226EB">
        <w:rPr>
          <w:rFonts w:ascii="Times New Roman" w:hAnsi="Times New Roman" w:cs="Times New Roman"/>
          <w:sz w:val="24"/>
          <w:szCs w:val="24"/>
        </w:rPr>
        <w:t xml:space="preserve"> </w:t>
      </w:r>
    </w:p>
    <w:p w14:paraId="43F9A207" w14:textId="77777777" w:rsidR="0066299F" w:rsidRDefault="0066299F" w:rsidP="008F6D0D">
      <w:pPr>
        <w:spacing w:after="0" w:line="240" w:lineRule="auto"/>
        <w:ind w:left="720"/>
        <w:jc w:val="both"/>
        <w:rPr>
          <w:rFonts w:ascii="Times New Roman" w:eastAsia="Calibri" w:hAnsi="Times New Roman" w:cs="Times New Roman"/>
          <w:i/>
          <w:sz w:val="24"/>
          <w:szCs w:val="24"/>
        </w:rPr>
      </w:pPr>
    </w:p>
    <w:p w14:paraId="5FCB8B04" w14:textId="77777777" w:rsidR="0066299F" w:rsidRPr="00E226EB" w:rsidRDefault="0066299F" w:rsidP="00BC1C92">
      <w:pPr>
        <w:spacing w:after="0" w:line="276" w:lineRule="auto"/>
        <w:jc w:val="both"/>
        <w:rPr>
          <w:rFonts w:ascii="Times New Roman" w:eastAsia="Calibri" w:hAnsi="Times New Roman" w:cs="Times New Roman"/>
          <w:i/>
          <w:sz w:val="24"/>
          <w:szCs w:val="24"/>
        </w:rPr>
      </w:pPr>
      <w:r w:rsidRPr="00E226EB">
        <w:rPr>
          <w:rFonts w:ascii="Times New Roman" w:eastAsia="Calibri" w:hAnsi="Times New Roman" w:cs="Times New Roman"/>
          <w:i/>
          <w:sz w:val="24"/>
          <w:szCs w:val="24"/>
        </w:rPr>
        <w:t>Piemēram:</w:t>
      </w:r>
    </w:p>
    <w:p w14:paraId="1EA102B4" w14:textId="287A597C" w:rsidR="0066299F" w:rsidRDefault="0066299F" w:rsidP="00B2076F">
      <w:pPr>
        <w:spacing w:after="120" w:line="240" w:lineRule="auto"/>
        <w:ind w:firstLine="426"/>
        <w:jc w:val="both"/>
        <w:rPr>
          <w:rFonts w:ascii="Times New Roman" w:hAnsi="Times New Roman" w:cs="Times New Roman"/>
          <w:sz w:val="24"/>
          <w:szCs w:val="24"/>
        </w:rPr>
      </w:pPr>
      <w:r w:rsidRPr="00E226EB">
        <w:rPr>
          <w:rFonts w:ascii="Times New Roman" w:eastAsia="Calibri" w:hAnsi="Times New Roman" w:cs="Times New Roman"/>
          <w:sz w:val="24"/>
          <w:szCs w:val="24"/>
        </w:rPr>
        <w:t xml:space="preserve">SI </w:t>
      </w:r>
      <w:r w:rsidRPr="00E226EB">
        <w:rPr>
          <w:rFonts w:ascii="Times New Roman" w:eastAsia="Calibri" w:hAnsi="Times New Roman" w:cs="Times New Roman"/>
          <w:b/>
          <w:sz w:val="24"/>
          <w:szCs w:val="24"/>
        </w:rPr>
        <w:t>2015.gada 10.janvārī</w:t>
      </w:r>
      <w:r w:rsidRPr="00E226EB">
        <w:rPr>
          <w:rFonts w:ascii="Times New Roman" w:eastAsia="Calibri" w:hAnsi="Times New Roman" w:cs="Times New Roman"/>
          <w:sz w:val="24"/>
          <w:szCs w:val="24"/>
        </w:rPr>
        <w:t xml:space="preserve"> pārbaudē projekta īstenošanas vietā konstatē faktu par iespējamu neatbilstību virs 10 000 </w:t>
      </w:r>
      <w:proofErr w:type="spellStart"/>
      <w:r w:rsidRPr="00E226EB">
        <w:rPr>
          <w:rFonts w:ascii="Times New Roman" w:eastAsia="Calibri" w:hAnsi="Times New Roman" w:cs="Times New Roman"/>
          <w:i/>
          <w:sz w:val="24"/>
          <w:szCs w:val="24"/>
        </w:rPr>
        <w:t>euro</w:t>
      </w:r>
      <w:proofErr w:type="spellEnd"/>
      <w:r w:rsidRPr="00E226EB">
        <w:rPr>
          <w:rFonts w:ascii="Times New Roman" w:eastAsia="Calibri" w:hAnsi="Times New Roman" w:cs="Times New Roman"/>
          <w:sz w:val="24"/>
          <w:szCs w:val="24"/>
        </w:rPr>
        <w:t xml:space="preserve"> (ES fondu daļa). Pēc lietas apstākļu pilnīgas izvērtēšanas tā </w:t>
      </w:r>
      <w:r w:rsidRPr="00E226EB">
        <w:rPr>
          <w:rFonts w:ascii="Times New Roman" w:eastAsia="Calibri" w:hAnsi="Times New Roman" w:cs="Times New Roman"/>
          <w:b/>
          <w:sz w:val="24"/>
          <w:szCs w:val="24"/>
        </w:rPr>
        <w:t>2015.gada 27.janvārī</w:t>
      </w:r>
      <w:r w:rsidRPr="00E226EB">
        <w:rPr>
          <w:rFonts w:ascii="Times New Roman" w:eastAsia="Calibri" w:hAnsi="Times New Roman" w:cs="Times New Roman"/>
          <w:sz w:val="24"/>
          <w:szCs w:val="24"/>
        </w:rPr>
        <w:t xml:space="preserve"> pieņem lēmumu par konstatēto neatbilstību. Atbilstoši neatbilstību sanāksmē panāktai vienošanās par gadījuma ziņošanu EK/OLAF, ievada, saskaņo ar vadošo iestādi un </w:t>
      </w:r>
      <w:proofErr w:type="spellStart"/>
      <w:r w:rsidRPr="00E226EB">
        <w:rPr>
          <w:rFonts w:ascii="Times New Roman" w:eastAsia="Calibri" w:hAnsi="Times New Roman" w:cs="Times New Roman"/>
          <w:sz w:val="24"/>
          <w:szCs w:val="24"/>
        </w:rPr>
        <w:t>nosūta</w:t>
      </w:r>
      <w:proofErr w:type="spellEnd"/>
      <w:r w:rsidRPr="00E226EB">
        <w:rPr>
          <w:rFonts w:ascii="Times New Roman" w:eastAsia="Calibri" w:hAnsi="Times New Roman" w:cs="Times New Roman"/>
          <w:sz w:val="24"/>
          <w:szCs w:val="24"/>
        </w:rPr>
        <w:t xml:space="preserve"> informāciju IMS vadlīnijās noteiktajos termiņos un kārtībā. Laukā „Atsauces numurs – OLAF” tiek norādīts 2015.gads, laukā „Ceturksnis, par kuru ziņojums sastādīts” no saraksta tiek izvēlēts </w:t>
      </w:r>
      <w:r w:rsidRPr="00E226EB">
        <w:rPr>
          <w:rFonts w:ascii="Times New Roman" w:eastAsia="Calibri" w:hAnsi="Times New Roman" w:cs="Times New Roman"/>
          <w:b/>
          <w:sz w:val="24"/>
          <w:szCs w:val="24"/>
        </w:rPr>
        <w:t xml:space="preserve">„First </w:t>
      </w:r>
      <w:proofErr w:type="spellStart"/>
      <w:r w:rsidRPr="00E226EB">
        <w:rPr>
          <w:rFonts w:ascii="Times New Roman" w:eastAsia="Calibri" w:hAnsi="Times New Roman" w:cs="Times New Roman"/>
          <w:b/>
          <w:sz w:val="24"/>
          <w:szCs w:val="24"/>
        </w:rPr>
        <w:t>quarter</w:t>
      </w:r>
      <w:proofErr w:type="spellEnd"/>
      <w:r w:rsidRPr="00E226EB">
        <w:rPr>
          <w:rFonts w:ascii="Times New Roman" w:eastAsia="Calibri" w:hAnsi="Times New Roman" w:cs="Times New Roman"/>
          <w:b/>
          <w:sz w:val="24"/>
          <w:szCs w:val="24"/>
        </w:rPr>
        <w:t xml:space="preserve"> – 2015”</w:t>
      </w:r>
      <w:r w:rsidRPr="00E226EB">
        <w:rPr>
          <w:rFonts w:ascii="Times New Roman" w:eastAsia="Calibri" w:hAnsi="Times New Roman" w:cs="Times New Roman"/>
          <w:sz w:val="24"/>
          <w:szCs w:val="24"/>
        </w:rPr>
        <w:t xml:space="preserve">. Vēlāk </w:t>
      </w:r>
      <w:r w:rsidRPr="00E226EB">
        <w:rPr>
          <w:rFonts w:ascii="Times New Roman" w:eastAsia="Calibri" w:hAnsi="Times New Roman" w:cs="Times New Roman"/>
          <w:b/>
          <w:sz w:val="24"/>
          <w:szCs w:val="24"/>
        </w:rPr>
        <w:t>2015.gada septembrī</w:t>
      </w:r>
      <w:r w:rsidRPr="00E226EB">
        <w:rPr>
          <w:rFonts w:ascii="Times New Roman" w:eastAsia="Calibri" w:hAnsi="Times New Roman" w:cs="Times New Roman"/>
          <w:sz w:val="24"/>
          <w:szCs w:val="24"/>
        </w:rPr>
        <w:t xml:space="preserve"> neatbilstības gadījums tiek pārskatīts, kā rezultātā mainās neatbilstības apjoms. Šajā gadījumā EK/OLAF IMS sistēmā </w:t>
      </w:r>
      <w:r>
        <w:rPr>
          <w:rFonts w:ascii="Times New Roman" w:eastAsia="Calibri" w:hAnsi="Times New Roman" w:cs="Times New Roman"/>
          <w:sz w:val="24"/>
          <w:szCs w:val="24"/>
        </w:rPr>
        <w:t xml:space="preserve">jāaktualizē </w:t>
      </w:r>
      <w:r w:rsidRPr="00E226EB">
        <w:rPr>
          <w:rFonts w:ascii="Times New Roman" w:eastAsia="Calibri" w:hAnsi="Times New Roman" w:cs="Times New Roman"/>
          <w:sz w:val="24"/>
          <w:szCs w:val="24"/>
        </w:rPr>
        <w:t>iepriekš ziņot</w:t>
      </w:r>
      <w:r>
        <w:rPr>
          <w:rFonts w:ascii="Times New Roman" w:eastAsia="Calibri" w:hAnsi="Times New Roman" w:cs="Times New Roman"/>
          <w:sz w:val="24"/>
          <w:szCs w:val="24"/>
        </w:rPr>
        <w:t>ā</w:t>
      </w:r>
      <w:r w:rsidRPr="00E226EB">
        <w:rPr>
          <w:rFonts w:ascii="Times New Roman" w:eastAsia="Calibri" w:hAnsi="Times New Roman" w:cs="Times New Roman"/>
          <w:sz w:val="24"/>
          <w:szCs w:val="24"/>
        </w:rPr>
        <w:t xml:space="preserve"> neatbilstīb</w:t>
      </w:r>
      <w:r>
        <w:rPr>
          <w:rFonts w:ascii="Times New Roman" w:eastAsia="Calibri" w:hAnsi="Times New Roman" w:cs="Times New Roman"/>
          <w:sz w:val="24"/>
          <w:szCs w:val="24"/>
        </w:rPr>
        <w:t>a</w:t>
      </w:r>
      <w:r w:rsidRPr="00E226EB">
        <w:rPr>
          <w:rFonts w:ascii="Times New Roman" w:eastAsia="Calibri" w:hAnsi="Times New Roman" w:cs="Times New Roman"/>
          <w:sz w:val="24"/>
          <w:szCs w:val="24"/>
        </w:rPr>
        <w:t xml:space="preserve">, izmantojot </w:t>
      </w:r>
      <w:r>
        <w:rPr>
          <w:rFonts w:ascii="Times New Roman" w:eastAsia="Calibri" w:hAnsi="Times New Roman" w:cs="Times New Roman"/>
          <w:sz w:val="24"/>
          <w:szCs w:val="24"/>
        </w:rPr>
        <w:t>pogu  “</w:t>
      </w:r>
      <w:proofErr w:type="spellStart"/>
      <w:r w:rsidRPr="00A87148">
        <w:rPr>
          <w:rFonts w:ascii="Times New Roman" w:eastAsia="Calibri" w:hAnsi="Times New Roman" w:cs="Times New Roman"/>
          <w:i/>
          <w:sz w:val="24"/>
          <w:szCs w:val="24"/>
        </w:rPr>
        <w:t>Update</w:t>
      </w:r>
      <w:proofErr w:type="spellEnd"/>
      <w:r w:rsidRPr="00A87148">
        <w:rPr>
          <w:rFonts w:ascii="Times New Roman" w:eastAsia="Calibri" w:hAnsi="Times New Roman" w:cs="Times New Roman"/>
          <w:i/>
          <w:sz w:val="24"/>
          <w:szCs w:val="24"/>
        </w:rPr>
        <w:t xml:space="preserve"> </w:t>
      </w:r>
      <w:proofErr w:type="spellStart"/>
      <w:r w:rsidRPr="00A87148">
        <w:rPr>
          <w:rFonts w:ascii="Times New Roman" w:eastAsia="Calibri" w:hAnsi="Times New Roman" w:cs="Times New Roman"/>
          <w:i/>
          <w:sz w:val="24"/>
          <w:szCs w:val="24"/>
        </w:rPr>
        <w:t>case</w:t>
      </w:r>
      <w:proofErr w:type="spellEnd"/>
      <w:r>
        <w:rPr>
          <w:rFonts w:ascii="Times New Roman" w:eastAsia="Calibri" w:hAnsi="Times New Roman" w:cs="Times New Roman"/>
          <w:sz w:val="24"/>
          <w:szCs w:val="24"/>
        </w:rPr>
        <w:t>”</w:t>
      </w:r>
      <w:r w:rsidRPr="00E226EB">
        <w:rPr>
          <w:rFonts w:ascii="Times New Roman" w:eastAsia="Calibri" w:hAnsi="Times New Roman" w:cs="Times New Roman"/>
          <w:sz w:val="24"/>
          <w:szCs w:val="24"/>
        </w:rPr>
        <w:t xml:space="preserve">. Saskaņā ar augstāk minēto regulējumu, progresa ziņojums jāievada EK/OLAF IMS līdz </w:t>
      </w:r>
      <w:r w:rsidRPr="00E226EB">
        <w:rPr>
          <w:rFonts w:ascii="Times New Roman" w:eastAsia="Calibri" w:hAnsi="Times New Roman" w:cs="Times New Roman"/>
          <w:b/>
          <w:sz w:val="24"/>
          <w:szCs w:val="24"/>
        </w:rPr>
        <w:t>2015.gada 30.novembrim</w:t>
      </w:r>
      <w:r w:rsidRPr="00E226EB">
        <w:rPr>
          <w:rFonts w:ascii="Times New Roman" w:eastAsia="Calibri" w:hAnsi="Times New Roman" w:cs="Times New Roman"/>
          <w:sz w:val="24"/>
          <w:szCs w:val="24"/>
        </w:rPr>
        <w:t xml:space="preserve">. Laukā „Ceturksnis, par kuru ziņojums sastādīts” jāizvēlas </w:t>
      </w:r>
      <w:r w:rsidRPr="00A87148">
        <w:rPr>
          <w:rFonts w:ascii="Times New Roman" w:eastAsia="Calibri" w:hAnsi="Times New Roman" w:cs="Times New Roman"/>
          <w:b/>
          <w:sz w:val="24"/>
          <w:szCs w:val="24"/>
        </w:rPr>
        <w:t>“2015/3”</w:t>
      </w:r>
      <w:r w:rsidRPr="00E226EB">
        <w:rPr>
          <w:rFonts w:ascii="Times New Roman" w:eastAsia="Calibri" w:hAnsi="Times New Roman" w:cs="Times New Roman"/>
          <w:sz w:val="24"/>
          <w:szCs w:val="24"/>
        </w:rPr>
        <w:t>.</w:t>
      </w:r>
      <w:r w:rsidR="004A278B">
        <w:rPr>
          <w:rFonts w:ascii="Times New Roman" w:eastAsia="Calibri" w:hAnsi="Times New Roman" w:cs="Times New Roman"/>
          <w:sz w:val="24"/>
          <w:szCs w:val="24"/>
        </w:rPr>
        <w:t xml:space="preserve"> </w:t>
      </w:r>
      <w:r w:rsidRPr="00E226EB">
        <w:rPr>
          <w:rFonts w:ascii="Times New Roman" w:hAnsi="Times New Roman" w:cs="Times New Roman"/>
          <w:sz w:val="24"/>
          <w:szCs w:val="24"/>
        </w:rPr>
        <w:t xml:space="preserve">Šāda pieeja nepieciešama, lai EK/OLAF pārstāvji varētu redzēt, cik bieži tiek atjaunota informācija par iepriekš sūtītiem neatbilstību gadījumiem. </w:t>
      </w:r>
    </w:p>
    <w:p w14:paraId="7F396F60" w14:textId="3B8DB164" w:rsidR="008F6D0D" w:rsidRDefault="00365EDB" w:rsidP="00B2076F">
      <w:pPr>
        <w:spacing w:after="0" w:line="240" w:lineRule="auto"/>
        <w:ind w:firstLine="426"/>
        <w:contextualSpacing/>
        <w:jc w:val="both"/>
        <w:rPr>
          <w:rFonts w:ascii="Times New Roman" w:hAnsi="Times New Roman" w:cs="Times New Roman"/>
          <w:sz w:val="24"/>
          <w:szCs w:val="24"/>
        </w:rPr>
      </w:pPr>
      <w:r w:rsidRPr="00E226EB">
        <w:rPr>
          <w:rFonts w:ascii="Times New Roman" w:hAnsi="Times New Roman" w:cs="Times New Roman"/>
          <w:sz w:val="24"/>
          <w:szCs w:val="24"/>
        </w:rPr>
        <w:t>Gadījumos, kad neatbilstoši veiktie izdevumi ir atgūti</w:t>
      </w:r>
      <w:r>
        <w:rPr>
          <w:rFonts w:ascii="Times New Roman" w:hAnsi="Times New Roman" w:cs="Times New Roman"/>
          <w:sz w:val="24"/>
          <w:szCs w:val="24"/>
        </w:rPr>
        <w:t>,</w:t>
      </w:r>
      <w:r w:rsidRPr="00E226EB">
        <w:rPr>
          <w:rFonts w:ascii="Times New Roman" w:hAnsi="Times New Roman" w:cs="Times New Roman"/>
          <w:sz w:val="24"/>
          <w:szCs w:val="24"/>
        </w:rPr>
        <w:t xml:space="preserve"> sadaļā </w:t>
      </w:r>
      <w:r>
        <w:rPr>
          <w:rFonts w:ascii="Times New Roman" w:hAnsi="Times New Roman" w:cs="Times New Roman"/>
          <w:sz w:val="24"/>
          <w:szCs w:val="24"/>
        </w:rPr>
        <w:t xml:space="preserve">Nr.9 </w:t>
      </w:r>
      <w:r w:rsidRPr="00E226EB">
        <w:rPr>
          <w:rFonts w:ascii="Times New Roman" w:hAnsi="Times New Roman" w:cs="Times New Roman"/>
          <w:sz w:val="24"/>
          <w:szCs w:val="24"/>
        </w:rPr>
        <w:t>„</w:t>
      </w:r>
      <w:r>
        <w:rPr>
          <w:rFonts w:ascii="Times New Roman" w:hAnsi="Times New Roman" w:cs="Times New Roman"/>
          <w:sz w:val="24"/>
          <w:szCs w:val="24"/>
        </w:rPr>
        <w:t>Atgūšana</w:t>
      </w:r>
      <w:r w:rsidRPr="00E226EB">
        <w:rPr>
          <w:rFonts w:ascii="Times New Roman" w:hAnsi="Times New Roman" w:cs="Times New Roman"/>
          <w:sz w:val="24"/>
          <w:szCs w:val="24"/>
        </w:rPr>
        <w:t xml:space="preserve">” </w:t>
      </w:r>
      <w:r>
        <w:rPr>
          <w:rFonts w:ascii="Times New Roman" w:hAnsi="Times New Roman" w:cs="Times New Roman"/>
          <w:sz w:val="24"/>
          <w:szCs w:val="24"/>
        </w:rPr>
        <w:t>laukā Nr.9.12 ievada</w:t>
      </w:r>
      <w:r w:rsidRPr="00E226EB">
        <w:rPr>
          <w:rFonts w:ascii="Times New Roman" w:hAnsi="Times New Roman" w:cs="Times New Roman"/>
          <w:sz w:val="24"/>
          <w:szCs w:val="24"/>
        </w:rPr>
        <w:t xml:space="preserve"> </w:t>
      </w:r>
      <w:r>
        <w:rPr>
          <w:rFonts w:ascii="Times New Roman" w:hAnsi="Times New Roman" w:cs="Times New Roman"/>
          <w:sz w:val="24"/>
          <w:szCs w:val="24"/>
        </w:rPr>
        <w:t>datumu, kas atgūšanas process tika pabeigts</w:t>
      </w:r>
      <w:r w:rsidRPr="00E226EB">
        <w:rPr>
          <w:rFonts w:ascii="Times New Roman" w:hAnsi="Times New Roman" w:cs="Times New Roman"/>
          <w:sz w:val="24"/>
          <w:szCs w:val="24"/>
        </w:rPr>
        <w:t>.</w:t>
      </w:r>
      <w:r w:rsidR="008F6D0D">
        <w:rPr>
          <w:rFonts w:ascii="Times New Roman" w:hAnsi="Times New Roman" w:cs="Times New Roman"/>
          <w:sz w:val="24"/>
          <w:szCs w:val="24"/>
        </w:rPr>
        <w:t xml:space="preserve"> A</w:t>
      </w:r>
      <w:r w:rsidR="008F6D0D" w:rsidRPr="008F6D0D">
        <w:rPr>
          <w:rFonts w:ascii="Times New Roman" w:hAnsi="Times New Roman" w:cs="Times New Roman"/>
          <w:sz w:val="24"/>
          <w:szCs w:val="24"/>
        </w:rPr>
        <w:t>tgūtaj</w:t>
      </w:r>
      <w:r w:rsidR="009E1A8B">
        <w:rPr>
          <w:rFonts w:ascii="Times New Roman" w:hAnsi="Times New Roman" w:cs="Times New Roman"/>
          <w:sz w:val="24"/>
          <w:szCs w:val="24"/>
        </w:rPr>
        <w:t>a</w:t>
      </w:r>
      <w:r w:rsidR="008F6D0D" w:rsidRPr="008F6D0D">
        <w:rPr>
          <w:rFonts w:ascii="Times New Roman" w:hAnsi="Times New Roman" w:cs="Times New Roman"/>
          <w:sz w:val="24"/>
          <w:szCs w:val="24"/>
        </w:rPr>
        <w:t>m finansējumam jābūt vienādam ar atgūstāmo (neatbilstības) summu, pretējā gadījumā neatbilstību nebūs iespējams slēgt</w:t>
      </w:r>
      <w:r w:rsidR="008F6D0D">
        <w:rPr>
          <w:rFonts w:ascii="Times New Roman" w:hAnsi="Times New Roman" w:cs="Times New Roman"/>
          <w:sz w:val="24"/>
          <w:szCs w:val="24"/>
        </w:rPr>
        <w:t>.</w:t>
      </w:r>
      <w:r w:rsidRPr="00E226EB">
        <w:rPr>
          <w:rFonts w:ascii="Times New Roman" w:hAnsi="Times New Roman" w:cs="Times New Roman"/>
          <w:sz w:val="24"/>
          <w:szCs w:val="24"/>
        </w:rPr>
        <w:t xml:space="preserve"> </w:t>
      </w:r>
    </w:p>
    <w:p w14:paraId="082A39BB" w14:textId="77777777" w:rsidR="008F6D0D" w:rsidRDefault="008F6D0D" w:rsidP="00B2076F">
      <w:pPr>
        <w:spacing w:after="0" w:line="240" w:lineRule="auto"/>
        <w:ind w:firstLine="426"/>
        <w:contextualSpacing/>
        <w:jc w:val="both"/>
        <w:rPr>
          <w:rFonts w:ascii="Times New Roman" w:hAnsi="Times New Roman" w:cs="Times New Roman"/>
          <w:sz w:val="24"/>
          <w:szCs w:val="24"/>
        </w:rPr>
      </w:pPr>
    </w:p>
    <w:p w14:paraId="64772EC5" w14:textId="52C102C2" w:rsidR="00365EDB" w:rsidRDefault="00365EDB" w:rsidP="00BC1C92">
      <w:pPr>
        <w:pStyle w:val="ListParagraph"/>
        <w:numPr>
          <w:ilvl w:val="0"/>
          <w:numId w:val="1"/>
        </w:numPr>
        <w:spacing w:after="120" w:line="240" w:lineRule="auto"/>
        <w:ind w:left="426" w:hanging="426"/>
        <w:jc w:val="both"/>
        <w:rPr>
          <w:rFonts w:ascii="Times New Roman" w:eastAsia="Calibri" w:hAnsi="Times New Roman" w:cs="Times New Roman"/>
          <w:sz w:val="24"/>
          <w:szCs w:val="24"/>
        </w:rPr>
      </w:pPr>
      <w:r w:rsidRPr="007F1DAD">
        <w:rPr>
          <w:rFonts w:ascii="Times New Roman" w:eastAsia="Calibri" w:hAnsi="Times New Roman" w:cs="Times New Roman"/>
          <w:sz w:val="24"/>
          <w:szCs w:val="24"/>
        </w:rPr>
        <w:t xml:space="preserve">Ja tiek konstatēts, ka iepriekš ziņotā neatbilstība ir jādzēš, sistēmā </w:t>
      </w:r>
      <w:r w:rsidR="008F6D0D">
        <w:rPr>
          <w:rFonts w:ascii="Times New Roman" w:eastAsia="Calibri" w:hAnsi="Times New Roman" w:cs="Times New Roman"/>
          <w:sz w:val="24"/>
          <w:szCs w:val="24"/>
        </w:rPr>
        <w:t>no saraksta “</w:t>
      </w:r>
      <w:proofErr w:type="spellStart"/>
      <w:r w:rsidR="008F6D0D" w:rsidRPr="008F6D0D">
        <w:rPr>
          <w:rFonts w:ascii="Times New Roman" w:eastAsia="Calibri" w:hAnsi="Times New Roman" w:cs="Times New Roman"/>
          <w:i/>
          <w:sz w:val="24"/>
          <w:szCs w:val="24"/>
        </w:rPr>
        <w:t>Cases</w:t>
      </w:r>
      <w:proofErr w:type="spellEnd"/>
      <w:r w:rsidR="008F6D0D">
        <w:rPr>
          <w:rFonts w:ascii="Times New Roman" w:eastAsia="Calibri" w:hAnsi="Times New Roman" w:cs="Times New Roman"/>
          <w:sz w:val="24"/>
          <w:szCs w:val="24"/>
        </w:rPr>
        <w:t xml:space="preserve">” </w:t>
      </w:r>
      <w:r w:rsidRPr="007F1DAD">
        <w:rPr>
          <w:rFonts w:ascii="Times New Roman" w:eastAsia="Calibri" w:hAnsi="Times New Roman" w:cs="Times New Roman"/>
          <w:sz w:val="24"/>
          <w:szCs w:val="24"/>
        </w:rPr>
        <w:t>jāizvēlas konkrēts gadījuma numurs un jānospiež “</w:t>
      </w:r>
      <w:proofErr w:type="spellStart"/>
      <w:r w:rsidRPr="007F1DAD">
        <w:rPr>
          <w:rFonts w:ascii="Times New Roman" w:eastAsia="Calibri" w:hAnsi="Times New Roman" w:cs="Times New Roman"/>
          <w:i/>
          <w:sz w:val="24"/>
          <w:szCs w:val="24"/>
        </w:rPr>
        <w:t>Cancel</w:t>
      </w:r>
      <w:proofErr w:type="spellEnd"/>
      <w:r w:rsidRPr="007F1DAD">
        <w:rPr>
          <w:rFonts w:ascii="Times New Roman" w:eastAsia="Calibri" w:hAnsi="Times New Roman" w:cs="Times New Roman"/>
          <w:i/>
          <w:sz w:val="24"/>
          <w:szCs w:val="24"/>
        </w:rPr>
        <w:t xml:space="preserve"> </w:t>
      </w:r>
      <w:proofErr w:type="spellStart"/>
      <w:r w:rsidRPr="007F1DAD">
        <w:rPr>
          <w:rFonts w:ascii="Times New Roman" w:eastAsia="Calibri" w:hAnsi="Times New Roman" w:cs="Times New Roman"/>
          <w:i/>
          <w:sz w:val="24"/>
          <w:szCs w:val="24"/>
        </w:rPr>
        <w:t>case</w:t>
      </w:r>
      <w:proofErr w:type="spellEnd"/>
      <w:r w:rsidRPr="007F1DAD">
        <w:rPr>
          <w:rFonts w:ascii="Times New Roman" w:eastAsia="Calibri" w:hAnsi="Times New Roman" w:cs="Times New Roman"/>
          <w:sz w:val="24"/>
          <w:szCs w:val="24"/>
        </w:rPr>
        <w:t xml:space="preserve">”. Dzēšot </w:t>
      </w:r>
      <w:r w:rsidR="008800AE">
        <w:rPr>
          <w:rFonts w:ascii="Times New Roman" w:eastAsia="Calibri" w:hAnsi="Times New Roman" w:cs="Times New Roman"/>
          <w:sz w:val="24"/>
          <w:szCs w:val="24"/>
        </w:rPr>
        <w:t>gadījumu</w:t>
      </w:r>
      <w:r w:rsidRPr="007F1DAD">
        <w:rPr>
          <w:rFonts w:ascii="Times New Roman" w:eastAsia="Calibri" w:hAnsi="Times New Roman" w:cs="Times New Roman"/>
          <w:sz w:val="24"/>
          <w:szCs w:val="24"/>
        </w:rPr>
        <w:t>, obligāti jāievada pamatojums. Neatbilstība uzskatāma par dzēstu pēc pieprasījuma nosūtīšanas EK/OLAF. Turpmāk sistēma šis gadījums tiks atspoguļots kā “Dzēsts”</w:t>
      </w:r>
      <w:r w:rsidR="00FB1507">
        <w:rPr>
          <w:rFonts w:ascii="Times New Roman" w:eastAsia="Calibri" w:hAnsi="Times New Roman" w:cs="Times New Roman"/>
          <w:sz w:val="24"/>
          <w:szCs w:val="24"/>
        </w:rPr>
        <w:t xml:space="preserve"> (</w:t>
      </w:r>
      <w:r w:rsidR="00FB1507" w:rsidRPr="00FB1507">
        <w:rPr>
          <w:rFonts w:ascii="Times New Roman" w:eastAsia="Calibri" w:hAnsi="Times New Roman" w:cs="Times New Roman"/>
          <w:i/>
          <w:sz w:val="24"/>
          <w:szCs w:val="24"/>
          <w:lang w:val="en-US"/>
        </w:rPr>
        <w:t>Cancelled</w:t>
      </w:r>
      <w:r w:rsidR="00FB1507">
        <w:rPr>
          <w:rFonts w:ascii="Times New Roman" w:eastAsia="Calibri" w:hAnsi="Times New Roman" w:cs="Times New Roman"/>
          <w:sz w:val="24"/>
          <w:szCs w:val="24"/>
        </w:rPr>
        <w:t>)</w:t>
      </w:r>
      <w:r w:rsidRPr="007F1DAD">
        <w:rPr>
          <w:rFonts w:ascii="Times New Roman" w:eastAsia="Calibri" w:hAnsi="Times New Roman" w:cs="Times New Roman"/>
          <w:sz w:val="24"/>
          <w:szCs w:val="24"/>
        </w:rPr>
        <w:t>.</w:t>
      </w:r>
    </w:p>
    <w:p w14:paraId="1BA853DC" w14:textId="77777777" w:rsidR="00BC1C92" w:rsidRPr="007F1DAD" w:rsidRDefault="00BC1C92" w:rsidP="00BC1C92">
      <w:pPr>
        <w:pStyle w:val="ListParagraph"/>
        <w:spacing w:after="120" w:line="240" w:lineRule="auto"/>
        <w:ind w:left="426" w:hanging="426"/>
        <w:jc w:val="both"/>
        <w:rPr>
          <w:rFonts w:ascii="Times New Roman" w:eastAsia="Calibri" w:hAnsi="Times New Roman" w:cs="Times New Roman"/>
          <w:sz w:val="24"/>
          <w:szCs w:val="24"/>
        </w:rPr>
      </w:pPr>
    </w:p>
    <w:p w14:paraId="4B4A2BE2" w14:textId="77777777" w:rsidR="00365EDB" w:rsidRDefault="00365EDB" w:rsidP="00BC1C92">
      <w:pPr>
        <w:pStyle w:val="ListParagraph"/>
        <w:numPr>
          <w:ilvl w:val="0"/>
          <w:numId w:val="1"/>
        </w:numPr>
        <w:spacing w:after="120" w:line="240" w:lineRule="auto"/>
        <w:ind w:left="426" w:hanging="426"/>
        <w:jc w:val="both"/>
        <w:rPr>
          <w:rFonts w:ascii="Times New Roman" w:eastAsia="Calibri" w:hAnsi="Times New Roman" w:cs="Times New Roman"/>
          <w:sz w:val="24"/>
          <w:szCs w:val="24"/>
        </w:rPr>
      </w:pPr>
      <w:r w:rsidRPr="006A1683">
        <w:rPr>
          <w:rFonts w:ascii="Times New Roman" w:eastAsia="Calibri" w:hAnsi="Times New Roman" w:cs="Times New Roman"/>
          <w:sz w:val="24"/>
          <w:szCs w:val="24"/>
        </w:rPr>
        <w:t>Lai slēgtu neatbilstību, IMS jāizvēlas konkrēts gadījuma numurs un jānospiež “</w:t>
      </w:r>
      <w:proofErr w:type="spellStart"/>
      <w:r w:rsidRPr="006A1683">
        <w:rPr>
          <w:rFonts w:ascii="Times New Roman" w:eastAsia="Calibri" w:hAnsi="Times New Roman" w:cs="Times New Roman"/>
          <w:i/>
          <w:sz w:val="24"/>
          <w:szCs w:val="24"/>
        </w:rPr>
        <w:t>Close</w:t>
      </w:r>
      <w:proofErr w:type="spellEnd"/>
      <w:r w:rsidRPr="006A1683">
        <w:rPr>
          <w:rFonts w:ascii="Times New Roman" w:eastAsia="Calibri" w:hAnsi="Times New Roman" w:cs="Times New Roman"/>
          <w:i/>
          <w:sz w:val="24"/>
          <w:szCs w:val="24"/>
        </w:rPr>
        <w:t xml:space="preserve"> </w:t>
      </w:r>
      <w:proofErr w:type="spellStart"/>
      <w:r w:rsidRPr="006A1683">
        <w:rPr>
          <w:rFonts w:ascii="Times New Roman" w:eastAsia="Calibri" w:hAnsi="Times New Roman" w:cs="Times New Roman"/>
          <w:i/>
          <w:sz w:val="24"/>
          <w:szCs w:val="24"/>
        </w:rPr>
        <w:t>case</w:t>
      </w:r>
      <w:proofErr w:type="spellEnd"/>
      <w:r w:rsidRPr="006A1683">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Sistēmā </w:t>
      </w:r>
      <w:r w:rsidRPr="003D11B4">
        <w:rPr>
          <w:rFonts w:ascii="Times New Roman" w:eastAsia="Calibri" w:hAnsi="Times New Roman" w:cs="Times New Roman"/>
          <w:sz w:val="24"/>
          <w:szCs w:val="24"/>
        </w:rPr>
        <w:t xml:space="preserve">automātiski tiek piešķirts </w:t>
      </w:r>
      <w:r>
        <w:rPr>
          <w:rFonts w:ascii="Times New Roman" w:eastAsia="Calibri" w:hAnsi="Times New Roman" w:cs="Times New Roman"/>
          <w:sz w:val="24"/>
          <w:szCs w:val="24"/>
        </w:rPr>
        <w:t xml:space="preserve">informācijas ievades datums, kuru iespējams manuāli labot. </w:t>
      </w:r>
    </w:p>
    <w:p w14:paraId="422B6E9D" w14:textId="77777777" w:rsidR="00FF2812" w:rsidRPr="006A1683" w:rsidRDefault="00FF2812" w:rsidP="00BC1C92">
      <w:pPr>
        <w:pStyle w:val="ListParagraph"/>
        <w:spacing w:after="120" w:line="240" w:lineRule="auto"/>
        <w:ind w:left="426" w:hanging="426"/>
        <w:jc w:val="both"/>
        <w:rPr>
          <w:rFonts w:ascii="Times New Roman" w:eastAsia="Calibri" w:hAnsi="Times New Roman" w:cs="Times New Roman"/>
          <w:sz w:val="24"/>
          <w:szCs w:val="24"/>
        </w:rPr>
      </w:pPr>
    </w:p>
    <w:p w14:paraId="5FE93ABA" w14:textId="5DBF9291" w:rsidR="00365EDB" w:rsidRPr="008C6027" w:rsidRDefault="00365EDB" w:rsidP="00BC1C92">
      <w:pPr>
        <w:pStyle w:val="ListParagraph"/>
        <w:numPr>
          <w:ilvl w:val="0"/>
          <w:numId w:val="1"/>
        </w:numPr>
        <w:spacing w:after="0" w:line="240" w:lineRule="auto"/>
        <w:ind w:left="426" w:hanging="426"/>
        <w:jc w:val="both"/>
        <w:rPr>
          <w:rFonts w:ascii="Times New Roman" w:hAnsi="Times New Roman" w:cs="Times New Roman"/>
          <w:sz w:val="24"/>
          <w:szCs w:val="24"/>
        </w:rPr>
      </w:pPr>
      <w:r w:rsidRPr="008C6027">
        <w:rPr>
          <w:rFonts w:ascii="Times New Roman" w:hAnsi="Times New Roman" w:cs="Times New Roman"/>
          <w:sz w:val="24"/>
          <w:szCs w:val="24"/>
        </w:rPr>
        <w:t>Sadaļas Nr.8 “</w:t>
      </w:r>
      <w:r w:rsidR="008F6D0D">
        <w:rPr>
          <w:rFonts w:ascii="Times New Roman" w:hAnsi="Times New Roman" w:cs="Times New Roman"/>
          <w:sz w:val="24"/>
          <w:szCs w:val="24"/>
        </w:rPr>
        <w:t>Izdevumi</w:t>
      </w:r>
      <w:r w:rsidRPr="006E744D">
        <w:rPr>
          <w:rFonts w:ascii="Times New Roman" w:hAnsi="Times New Roman" w:cs="Times New Roman"/>
          <w:sz w:val="24"/>
          <w:szCs w:val="24"/>
        </w:rPr>
        <w:t>”</w:t>
      </w:r>
      <w:r w:rsidRPr="008C6027">
        <w:rPr>
          <w:rFonts w:ascii="Times New Roman" w:hAnsi="Times New Roman" w:cs="Times New Roman"/>
          <w:sz w:val="24"/>
          <w:szCs w:val="24"/>
        </w:rPr>
        <w:t xml:space="preserve"> 8.2.1.</w:t>
      </w:r>
      <w:r w:rsidRPr="00AB1836">
        <w:rPr>
          <w:rFonts w:ascii="Times New Roman" w:hAnsi="Times New Roman" w:cs="Times New Roman"/>
          <w:sz w:val="24"/>
          <w:szCs w:val="24"/>
        </w:rPr>
        <w:t>laukā</w:t>
      </w:r>
      <w:r w:rsidRPr="00B55452">
        <w:rPr>
          <w:rFonts w:ascii="Times New Roman" w:hAnsi="Times New Roman" w:cs="Times New Roman"/>
          <w:sz w:val="24"/>
          <w:szCs w:val="24"/>
        </w:rPr>
        <w:t xml:space="preserve"> </w:t>
      </w:r>
      <w:r w:rsidRPr="008C6027">
        <w:rPr>
          <w:rFonts w:ascii="Times New Roman" w:hAnsi="Times New Roman" w:cs="Times New Roman"/>
          <w:sz w:val="24"/>
          <w:szCs w:val="24"/>
        </w:rPr>
        <w:t>ir jānorāda neatbilstības neizmaksāta summa, savukārt 8.2.2.</w:t>
      </w:r>
      <w:r w:rsidRPr="00FB67B0">
        <w:rPr>
          <w:rFonts w:ascii="Times New Roman" w:hAnsi="Times New Roman" w:cs="Times New Roman"/>
          <w:sz w:val="24"/>
          <w:szCs w:val="24"/>
        </w:rPr>
        <w:t>laukā</w:t>
      </w:r>
      <w:r w:rsidRPr="00B55452">
        <w:rPr>
          <w:rFonts w:ascii="Times New Roman" w:hAnsi="Times New Roman" w:cs="Times New Roman"/>
          <w:sz w:val="24"/>
          <w:szCs w:val="24"/>
        </w:rPr>
        <w:t xml:space="preserve"> </w:t>
      </w:r>
      <w:r w:rsidRPr="008C6027">
        <w:rPr>
          <w:rFonts w:ascii="Times New Roman" w:hAnsi="Times New Roman" w:cs="Times New Roman"/>
          <w:sz w:val="24"/>
          <w:szCs w:val="24"/>
        </w:rPr>
        <w:t xml:space="preserve">– izmaksāta summa. </w:t>
      </w:r>
    </w:p>
    <w:p w14:paraId="117EE38A" w14:textId="77777777" w:rsidR="00365EDB" w:rsidRDefault="00365EDB" w:rsidP="00B2076F">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Piemēram, kad tiek konstatēta neatbilstība un NVI tiek </w:t>
      </w:r>
      <w:r w:rsidRPr="00B55452">
        <w:rPr>
          <w:rFonts w:ascii="Times New Roman" w:hAnsi="Times New Roman" w:cs="Times New Roman"/>
          <w:sz w:val="24"/>
          <w:szCs w:val="24"/>
        </w:rPr>
        <w:t>ietur</w:t>
      </w:r>
      <w:r>
        <w:rPr>
          <w:rFonts w:ascii="Times New Roman" w:hAnsi="Times New Roman" w:cs="Times New Roman"/>
          <w:sz w:val="24"/>
          <w:szCs w:val="24"/>
        </w:rPr>
        <w:t>ēti</w:t>
      </w:r>
      <w:r w:rsidRPr="00B55452">
        <w:rPr>
          <w:rFonts w:ascii="Times New Roman" w:hAnsi="Times New Roman" w:cs="Times New Roman"/>
          <w:sz w:val="24"/>
          <w:szCs w:val="24"/>
        </w:rPr>
        <w:t xml:space="preserve"> no </w:t>
      </w:r>
      <w:r>
        <w:rPr>
          <w:rFonts w:ascii="Times New Roman" w:hAnsi="Times New Roman" w:cs="Times New Roman"/>
          <w:sz w:val="24"/>
          <w:szCs w:val="24"/>
        </w:rPr>
        <w:t>maksājuma pieprasījuma</w:t>
      </w:r>
      <w:r w:rsidRPr="00B55452">
        <w:rPr>
          <w:rFonts w:ascii="Times New Roman" w:hAnsi="Times New Roman" w:cs="Times New Roman"/>
          <w:sz w:val="24"/>
          <w:szCs w:val="24"/>
        </w:rPr>
        <w:t xml:space="preserve">, </w:t>
      </w:r>
      <w:r>
        <w:rPr>
          <w:rFonts w:ascii="Times New Roman" w:hAnsi="Times New Roman" w:cs="Times New Roman"/>
          <w:sz w:val="24"/>
          <w:szCs w:val="24"/>
        </w:rPr>
        <w:t xml:space="preserve">t.i., maksājumi vēl netika veikti, </w:t>
      </w:r>
      <w:r w:rsidRPr="00B55452">
        <w:rPr>
          <w:rFonts w:ascii="Times New Roman" w:hAnsi="Times New Roman" w:cs="Times New Roman"/>
          <w:sz w:val="24"/>
          <w:szCs w:val="24"/>
        </w:rPr>
        <w:t xml:space="preserve">neatbilstības summu norāda </w:t>
      </w:r>
      <w:r>
        <w:rPr>
          <w:rFonts w:ascii="Times New Roman" w:hAnsi="Times New Roman" w:cs="Times New Roman"/>
          <w:sz w:val="24"/>
          <w:szCs w:val="24"/>
        </w:rPr>
        <w:t>8.2</w:t>
      </w:r>
      <w:r w:rsidRPr="00B55452">
        <w:rPr>
          <w:rFonts w:ascii="Times New Roman" w:hAnsi="Times New Roman" w:cs="Times New Roman"/>
          <w:sz w:val="24"/>
          <w:szCs w:val="24"/>
        </w:rPr>
        <w:t xml:space="preserve">.1.laukā. </w:t>
      </w:r>
    </w:p>
    <w:p w14:paraId="37830384" w14:textId="77777777" w:rsidR="00B2076F" w:rsidRDefault="00B2076F" w:rsidP="00365EDB">
      <w:pPr>
        <w:spacing w:after="0" w:line="240" w:lineRule="auto"/>
        <w:jc w:val="both"/>
        <w:rPr>
          <w:rFonts w:ascii="Times New Roman" w:hAnsi="Times New Roman" w:cs="Times New Roman"/>
          <w:b/>
          <w:sz w:val="28"/>
          <w:szCs w:val="24"/>
        </w:rPr>
      </w:pPr>
    </w:p>
    <w:p w14:paraId="4BEBE32C" w14:textId="15E0E5D2" w:rsidR="00365EDB" w:rsidRDefault="00365EDB" w:rsidP="00365EDB">
      <w:pPr>
        <w:spacing w:after="0" w:line="240" w:lineRule="auto"/>
        <w:jc w:val="both"/>
        <w:rPr>
          <w:rFonts w:ascii="Times New Roman" w:hAnsi="Times New Roman" w:cs="Times New Roman"/>
          <w:sz w:val="24"/>
          <w:szCs w:val="24"/>
        </w:rPr>
      </w:pPr>
      <w:r w:rsidRPr="00934758">
        <w:rPr>
          <w:rFonts w:ascii="Times New Roman" w:hAnsi="Times New Roman" w:cs="Times New Roman"/>
          <w:b/>
          <w:sz w:val="28"/>
          <w:szCs w:val="24"/>
        </w:rPr>
        <w:t xml:space="preserve">! </w:t>
      </w:r>
      <w:r>
        <w:rPr>
          <w:rFonts w:ascii="Times New Roman" w:hAnsi="Times New Roman" w:cs="Times New Roman"/>
          <w:sz w:val="24"/>
          <w:szCs w:val="24"/>
        </w:rPr>
        <w:t>Gadījumā, ja</w:t>
      </w:r>
      <w:r w:rsidRPr="00934758">
        <w:rPr>
          <w:rFonts w:ascii="Times New Roman" w:hAnsi="Times New Roman" w:cs="Times New Roman"/>
          <w:sz w:val="24"/>
          <w:szCs w:val="24"/>
        </w:rPr>
        <w:t xml:space="preserve"> </w:t>
      </w:r>
      <w:r>
        <w:rPr>
          <w:rFonts w:ascii="Times New Roman" w:hAnsi="Times New Roman" w:cs="Times New Roman"/>
          <w:sz w:val="24"/>
          <w:szCs w:val="24"/>
        </w:rPr>
        <w:t>s</w:t>
      </w:r>
      <w:r w:rsidRPr="008C6027">
        <w:rPr>
          <w:rFonts w:ascii="Times New Roman" w:hAnsi="Times New Roman" w:cs="Times New Roman"/>
          <w:sz w:val="24"/>
          <w:szCs w:val="24"/>
        </w:rPr>
        <w:t>adaļ</w:t>
      </w:r>
      <w:r>
        <w:rPr>
          <w:rFonts w:ascii="Times New Roman" w:hAnsi="Times New Roman" w:cs="Times New Roman"/>
          <w:sz w:val="24"/>
          <w:szCs w:val="24"/>
        </w:rPr>
        <w:t>ā</w:t>
      </w:r>
      <w:r w:rsidRPr="008C6027">
        <w:rPr>
          <w:rFonts w:ascii="Times New Roman" w:hAnsi="Times New Roman" w:cs="Times New Roman"/>
          <w:sz w:val="24"/>
          <w:szCs w:val="24"/>
        </w:rPr>
        <w:t xml:space="preserve"> Nr.8 “</w:t>
      </w:r>
      <w:r w:rsidR="008F6D0D">
        <w:rPr>
          <w:rFonts w:ascii="Times New Roman" w:hAnsi="Times New Roman" w:cs="Times New Roman"/>
          <w:sz w:val="24"/>
          <w:szCs w:val="24"/>
        </w:rPr>
        <w:t>Izdevumi</w:t>
      </w:r>
      <w:r w:rsidRPr="008C6027">
        <w:rPr>
          <w:rFonts w:ascii="Times New Roman" w:hAnsi="Times New Roman" w:cs="Times New Roman"/>
          <w:sz w:val="24"/>
          <w:szCs w:val="24"/>
        </w:rPr>
        <w:t>”</w:t>
      </w:r>
      <w:r>
        <w:rPr>
          <w:rFonts w:ascii="Times New Roman" w:hAnsi="Times New Roman" w:cs="Times New Roman"/>
          <w:sz w:val="24"/>
          <w:szCs w:val="24"/>
        </w:rPr>
        <w:t xml:space="preserve"> automātiski tika pārkopētas summas no sadaļas Nr.4 “</w:t>
      </w:r>
      <w:r w:rsidRPr="00491861">
        <w:rPr>
          <w:rFonts w:ascii="Times New Roman" w:hAnsi="Times New Roman" w:cs="Times New Roman"/>
          <w:sz w:val="24"/>
          <w:szCs w:val="24"/>
        </w:rPr>
        <w:t>Darbība – konkrēts projekts</w:t>
      </w:r>
      <w:r>
        <w:rPr>
          <w:rFonts w:ascii="Times New Roman" w:hAnsi="Times New Roman" w:cs="Times New Roman"/>
          <w:sz w:val="24"/>
          <w:szCs w:val="24"/>
        </w:rPr>
        <w:t>”, veicot izmaiņas s</w:t>
      </w:r>
      <w:r w:rsidRPr="008C6027">
        <w:rPr>
          <w:rFonts w:ascii="Times New Roman" w:hAnsi="Times New Roman" w:cs="Times New Roman"/>
          <w:sz w:val="24"/>
          <w:szCs w:val="24"/>
        </w:rPr>
        <w:t>adaļ</w:t>
      </w:r>
      <w:r>
        <w:rPr>
          <w:rFonts w:ascii="Times New Roman" w:hAnsi="Times New Roman" w:cs="Times New Roman"/>
          <w:sz w:val="24"/>
          <w:szCs w:val="24"/>
        </w:rPr>
        <w:t xml:space="preserve">ā Nr.8, summas </w:t>
      </w:r>
      <w:r w:rsidRPr="00934758">
        <w:rPr>
          <w:rFonts w:ascii="Times New Roman" w:hAnsi="Times New Roman" w:cs="Times New Roman"/>
          <w:b/>
          <w:sz w:val="24"/>
          <w:szCs w:val="24"/>
        </w:rPr>
        <w:t xml:space="preserve">netiks </w:t>
      </w:r>
      <w:r w:rsidRPr="00934758">
        <w:rPr>
          <w:rFonts w:ascii="Times New Roman" w:hAnsi="Times New Roman" w:cs="Times New Roman"/>
          <w:sz w:val="24"/>
          <w:szCs w:val="24"/>
        </w:rPr>
        <w:t>automātiski</w:t>
      </w:r>
      <w:r>
        <w:rPr>
          <w:rFonts w:ascii="Times New Roman" w:hAnsi="Times New Roman" w:cs="Times New Roman"/>
          <w:b/>
          <w:sz w:val="24"/>
          <w:szCs w:val="24"/>
        </w:rPr>
        <w:t xml:space="preserve"> </w:t>
      </w:r>
      <w:r>
        <w:rPr>
          <w:rFonts w:ascii="Times New Roman" w:hAnsi="Times New Roman" w:cs="Times New Roman"/>
          <w:sz w:val="24"/>
          <w:szCs w:val="24"/>
        </w:rPr>
        <w:t>precizētas sadaļā Nr.4.</w:t>
      </w:r>
    </w:p>
    <w:p w14:paraId="3376F81C" w14:textId="77777777" w:rsidR="00365EDB" w:rsidRDefault="00365EDB" w:rsidP="00365EDB">
      <w:pPr>
        <w:spacing w:after="0" w:line="240" w:lineRule="auto"/>
        <w:ind w:left="792"/>
        <w:jc w:val="both"/>
        <w:rPr>
          <w:rFonts w:ascii="Times New Roman" w:hAnsi="Times New Roman" w:cs="Times New Roman"/>
          <w:sz w:val="24"/>
          <w:szCs w:val="24"/>
        </w:rPr>
      </w:pPr>
    </w:p>
    <w:p w14:paraId="76191DF0" w14:textId="77777777" w:rsidR="00365EDB" w:rsidRDefault="00365EDB" w:rsidP="00BC1C92">
      <w:pPr>
        <w:pStyle w:val="ListParagraph"/>
        <w:numPr>
          <w:ilvl w:val="0"/>
          <w:numId w:val="1"/>
        </w:numPr>
        <w:spacing w:after="120" w:line="240" w:lineRule="auto"/>
        <w:ind w:left="426" w:hanging="426"/>
        <w:jc w:val="both"/>
        <w:rPr>
          <w:rFonts w:ascii="Times New Roman" w:hAnsi="Times New Roman" w:cs="Times New Roman"/>
          <w:sz w:val="24"/>
          <w:szCs w:val="24"/>
        </w:rPr>
      </w:pPr>
      <w:r w:rsidRPr="005F7816">
        <w:rPr>
          <w:rFonts w:ascii="Times New Roman" w:hAnsi="Times New Roman" w:cs="Times New Roman"/>
          <w:sz w:val="24"/>
          <w:szCs w:val="24"/>
        </w:rPr>
        <w:t xml:space="preserve">Sadaļas Nr.9 “Atgūšana” 9.7.laukā tiek norādīta summa, kas atgūta ES budžetā (ES fondu daļa), savukārt 9.8.laukā – summa, kas atmaksāta valsts budžetā (valsts budžeta daļa). </w:t>
      </w:r>
    </w:p>
    <w:sectPr w:rsidR="00365EDB" w:rsidSect="0064673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59A47" w14:textId="77777777" w:rsidR="00E226EB" w:rsidRDefault="00E226EB" w:rsidP="00E226EB">
      <w:pPr>
        <w:spacing w:after="0" w:line="240" w:lineRule="auto"/>
      </w:pPr>
      <w:r>
        <w:separator/>
      </w:r>
    </w:p>
    <w:p w14:paraId="3D89CF24" w14:textId="77777777" w:rsidR="0050311C" w:rsidRDefault="0050311C"/>
  </w:endnote>
  <w:endnote w:type="continuationSeparator" w:id="0">
    <w:p w14:paraId="76F54C8F" w14:textId="77777777" w:rsidR="00E226EB" w:rsidRDefault="00E226EB" w:rsidP="00E226EB">
      <w:pPr>
        <w:spacing w:after="0" w:line="240" w:lineRule="auto"/>
      </w:pPr>
      <w:r>
        <w:continuationSeparator/>
      </w:r>
    </w:p>
    <w:p w14:paraId="4FB23459" w14:textId="77777777" w:rsidR="0050311C" w:rsidRDefault="005031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E2F47" w14:textId="77777777" w:rsidR="00ED70E4" w:rsidRDefault="00ED70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B320" w14:textId="77777777" w:rsidR="00ED70E4" w:rsidRDefault="00ED70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1CE8B" w14:textId="77777777" w:rsidR="00ED70E4" w:rsidRDefault="00ED70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DC0A91" w14:textId="77777777" w:rsidR="00E226EB" w:rsidRDefault="00E226EB" w:rsidP="00E226EB">
      <w:pPr>
        <w:spacing w:after="0" w:line="240" w:lineRule="auto"/>
      </w:pPr>
      <w:r>
        <w:separator/>
      </w:r>
    </w:p>
    <w:p w14:paraId="30A34B40" w14:textId="77777777" w:rsidR="0050311C" w:rsidRDefault="0050311C"/>
  </w:footnote>
  <w:footnote w:type="continuationSeparator" w:id="0">
    <w:p w14:paraId="052801A9" w14:textId="77777777" w:rsidR="00E226EB" w:rsidRDefault="00E226EB" w:rsidP="00E226EB">
      <w:pPr>
        <w:spacing w:after="0" w:line="240" w:lineRule="auto"/>
      </w:pPr>
      <w:r>
        <w:continuationSeparator/>
      </w:r>
    </w:p>
    <w:p w14:paraId="51660B5A" w14:textId="77777777" w:rsidR="0050311C" w:rsidRDefault="0050311C"/>
  </w:footnote>
  <w:footnote w:id="1">
    <w:p w14:paraId="5557D95A" w14:textId="5C4A442F" w:rsidR="000246D8" w:rsidRPr="000246D8" w:rsidRDefault="000246D8" w:rsidP="000246D8">
      <w:pPr>
        <w:pStyle w:val="FootnoteText"/>
        <w:jc w:val="both"/>
        <w:rPr>
          <w:lang w:val="lv-LV"/>
        </w:rPr>
      </w:pPr>
      <w:r>
        <w:rPr>
          <w:rStyle w:val="FootnoteReference"/>
        </w:rPr>
        <w:footnoteRef/>
      </w:r>
      <w:r>
        <w:t xml:space="preserve"> </w:t>
      </w:r>
      <w:r>
        <w:rPr>
          <w:lang w:val="lv-LV"/>
        </w:rPr>
        <w:t xml:space="preserve">Nulles paziņojums nav neatbilstības gadījums. Nulles paziņojuma mērķis informēt EK/OLAF, ka pārskata periodā (ceturksnī) nav konstatētas jaunas neatbilstības un nav pieejama jauna informāciju par tiem gadījumiem, par kuriem iepriekš tika ziņots OLAF. </w:t>
      </w:r>
    </w:p>
  </w:footnote>
  <w:footnote w:id="2">
    <w:p w14:paraId="353D278E" w14:textId="3B99789C" w:rsidR="00B2076F" w:rsidRPr="00B2076F" w:rsidRDefault="00B2076F">
      <w:pPr>
        <w:pStyle w:val="FootnoteText"/>
        <w:rPr>
          <w:lang w:val="lv-LV"/>
        </w:rPr>
      </w:pPr>
      <w:r>
        <w:rPr>
          <w:rStyle w:val="FootnoteReference"/>
        </w:rPr>
        <w:footnoteRef/>
      </w:r>
      <w:r>
        <w:t xml:space="preserve"> </w:t>
      </w:r>
      <w:r w:rsidRPr="00B2076F">
        <w:t xml:space="preserve">COMMISSION DECISION </w:t>
      </w:r>
      <w:proofErr w:type="spellStart"/>
      <w:r w:rsidRPr="00B2076F">
        <w:t>of</w:t>
      </w:r>
      <w:proofErr w:type="spellEnd"/>
      <w:r w:rsidRPr="00B2076F">
        <w:t xml:space="preserve"> 19.12.2013 </w:t>
      </w:r>
      <w:proofErr w:type="spellStart"/>
      <w:r w:rsidRPr="00B2076F">
        <w:t>on</w:t>
      </w:r>
      <w:proofErr w:type="spellEnd"/>
      <w:r w:rsidRPr="00B2076F">
        <w:t xml:space="preserve"> </w:t>
      </w:r>
      <w:proofErr w:type="spellStart"/>
      <w:r w:rsidRPr="00B2076F">
        <w:t>the</w:t>
      </w:r>
      <w:proofErr w:type="spellEnd"/>
      <w:r w:rsidRPr="00B2076F">
        <w:t xml:space="preserve"> </w:t>
      </w:r>
      <w:proofErr w:type="spellStart"/>
      <w:r w:rsidRPr="00B2076F">
        <w:t>setting</w:t>
      </w:r>
      <w:proofErr w:type="spellEnd"/>
      <w:r w:rsidRPr="00B2076F">
        <w:t xml:space="preserve"> </w:t>
      </w:r>
      <w:proofErr w:type="spellStart"/>
      <w:r w:rsidRPr="00B2076F">
        <w:t>out</w:t>
      </w:r>
      <w:proofErr w:type="spellEnd"/>
      <w:r w:rsidRPr="00B2076F">
        <w:t xml:space="preserve"> </w:t>
      </w:r>
      <w:proofErr w:type="spellStart"/>
      <w:r w:rsidRPr="00B2076F">
        <w:t>and</w:t>
      </w:r>
      <w:proofErr w:type="spellEnd"/>
      <w:r w:rsidRPr="00B2076F">
        <w:t xml:space="preserve"> </w:t>
      </w:r>
      <w:proofErr w:type="spellStart"/>
      <w:r w:rsidRPr="00B2076F">
        <w:t>approval</w:t>
      </w:r>
      <w:proofErr w:type="spellEnd"/>
      <w:r w:rsidRPr="00B2076F">
        <w:t xml:space="preserve"> </w:t>
      </w:r>
      <w:proofErr w:type="spellStart"/>
      <w:r w:rsidRPr="00B2076F">
        <w:t>of</w:t>
      </w:r>
      <w:proofErr w:type="spellEnd"/>
      <w:r w:rsidRPr="00B2076F">
        <w:t xml:space="preserve"> </w:t>
      </w:r>
      <w:proofErr w:type="spellStart"/>
      <w:r w:rsidRPr="00B2076F">
        <w:t>the</w:t>
      </w:r>
      <w:proofErr w:type="spellEnd"/>
      <w:r w:rsidRPr="00B2076F">
        <w:t xml:space="preserve"> </w:t>
      </w:r>
      <w:proofErr w:type="spellStart"/>
      <w:r w:rsidRPr="00B2076F">
        <w:t>guidelines</w:t>
      </w:r>
      <w:proofErr w:type="spellEnd"/>
      <w:r w:rsidRPr="00B2076F">
        <w:t xml:space="preserve"> </w:t>
      </w:r>
      <w:proofErr w:type="spellStart"/>
      <w:r w:rsidRPr="00B2076F">
        <w:t>for</w:t>
      </w:r>
      <w:proofErr w:type="spellEnd"/>
      <w:r w:rsidRPr="00B2076F">
        <w:t xml:space="preserve"> </w:t>
      </w:r>
      <w:proofErr w:type="spellStart"/>
      <w:r w:rsidRPr="00B2076F">
        <w:t>determining</w:t>
      </w:r>
      <w:proofErr w:type="spellEnd"/>
      <w:r w:rsidRPr="00B2076F">
        <w:t xml:space="preserve"> </w:t>
      </w:r>
      <w:proofErr w:type="spellStart"/>
      <w:r w:rsidRPr="00B2076F">
        <w:t>financial</w:t>
      </w:r>
      <w:proofErr w:type="spellEnd"/>
      <w:r w:rsidRPr="00B2076F">
        <w:t xml:space="preserve"> </w:t>
      </w:r>
      <w:proofErr w:type="spellStart"/>
      <w:r w:rsidRPr="00B2076F">
        <w:t>corrections</w:t>
      </w:r>
      <w:proofErr w:type="spellEnd"/>
      <w:r w:rsidRPr="00B2076F">
        <w:t xml:space="preserve"> to </w:t>
      </w:r>
      <w:proofErr w:type="spellStart"/>
      <w:r w:rsidRPr="00B2076F">
        <w:t>be</w:t>
      </w:r>
      <w:proofErr w:type="spellEnd"/>
      <w:r w:rsidRPr="00B2076F">
        <w:t xml:space="preserve"> </w:t>
      </w:r>
      <w:proofErr w:type="spellStart"/>
      <w:r w:rsidRPr="00B2076F">
        <w:t>made</w:t>
      </w:r>
      <w:proofErr w:type="spellEnd"/>
      <w:r w:rsidRPr="00B2076F">
        <w:t xml:space="preserve"> </w:t>
      </w:r>
      <w:proofErr w:type="spellStart"/>
      <w:r w:rsidRPr="00B2076F">
        <w:t>by</w:t>
      </w:r>
      <w:proofErr w:type="spellEnd"/>
      <w:r w:rsidRPr="00B2076F">
        <w:t xml:space="preserve"> </w:t>
      </w:r>
      <w:proofErr w:type="spellStart"/>
      <w:r w:rsidRPr="00B2076F">
        <w:t>the</w:t>
      </w:r>
      <w:proofErr w:type="spellEnd"/>
      <w:r w:rsidRPr="00B2076F">
        <w:t xml:space="preserve"> </w:t>
      </w:r>
      <w:proofErr w:type="spellStart"/>
      <w:r w:rsidRPr="00B2076F">
        <w:t>Commission</w:t>
      </w:r>
      <w:proofErr w:type="spellEnd"/>
      <w:r w:rsidRPr="00B2076F">
        <w:t xml:space="preserve"> to </w:t>
      </w:r>
      <w:proofErr w:type="spellStart"/>
      <w:r w:rsidRPr="00B2076F">
        <w:t>expenditure</w:t>
      </w:r>
      <w:proofErr w:type="spellEnd"/>
      <w:r w:rsidRPr="00B2076F">
        <w:t xml:space="preserve"> </w:t>
      </w:r>
      <w:proofErr w:type="spellStart"/>
      <w:r w:rsidRPr="00B2076F">
        <w:t>financed</w:t>
      </w:r>
      <w:proofErr w:type="spellEnd"/>
      <w:r w:rsidRPr="00B2076F">
        <w:t xml:space="preserve"> </w:t>
      </w:r>
      <w:proofErr w:type="spellStart"/>
      <w:r w:rsidRPr="00B2076F">
        <w:t>by</w:t>
      </w:r>
      <w:proofErr w:type="spellEnd"/>
      <w:r w:rsidRPr="00B2076F">
        <w:t xml:space="preserve"> </w:t>
      </w:r>
      <w:proofErr w:type="spellStart"/>
      <w:r w:rsidRPr="00B2076F">
        <w:t>the</w:t>
      </w:r>
      <w:proofErr w:type="spellEnd"/>
      <w:r w:rsidRPr="00B2076F">
        <w:t xml:space="preserve"> </w:t>
      </w:r>
      <w:proofErr w:type="spellStart"/>
      <w:r w:rsidRPr="00B2076F">
        <w:t>Union</w:t>
      </w:r>
      <w:proofErr w:type="spellEnd"/>
      <w:r w:rsidRPr="00B2076F">
        <w:t xml:space="preserve"> </w:t>
      </w:r>
      <w:proofErr w:type="spellStart"/>
      <w:r w:rsidRPr="00B2076F">
        <w:t>under</w:t>
      </w:r>
      <w:proofErr w:type="spellEnd"/>
      <w:r w:rsidRPr="00B2076F">
        <w:t xml:space="preserve"> </w:t>
      </w:r>
      <w:proofErr w:type="spellStart"/>
      <w:r w:rsidRPr="00B2076F">
        <w:t>shared</w:t>
      </w:r>
      <w:proofErr w:type="spellEnd"/>
      <w:r w:rsidRPr="00B2076F">
        <w:t xml:space="preserve"> </w:t>
      </w:r>
      <w:proofErr w:type="spellStart"/>
      <w:r w:rsidRPr="00B2076F">
        <w:t>management</w:t>
      </w:r>
      <w:proofErr w:type="spellEnd"/>
      <w:r w:rsidRPr="00B2076F">
        <w:t xml:space="preserve">, </w:t>
      </w:r>
      <w:proofErr w:type="spellStart"/>
      <w:r w:rsidRPr="00B2076F">
        <w:t>for</w:t>
      </w:r>
      <w:proofErr w:type="spellEnd"/>
      <w:r w:rsidRPr="00B2076F">
        <w:t xml:space="preserve"> non-</w:t>
      </w:r>
      <w:proofErr w:type="spellStart"/>
      <w:r w:rsidRPr="00B2076F">
        <w:t>compliance</w:t>
      </w:r>
      <w:proofErr w:type="spellEnd"/>
      <w:r w:rsidRPr="00B2076F">
        <w:t xml:space="preserve"> </w:t>
      </w:r>
      <w:proofErr w:type="spellStart"/>
      <w:r w:rsidRPr="00B2076F">
        <w:t>with</w:t>
      </w:r>
      <w:proofErr w:type="spellEnd"/>
      <w:r w:rsidRPr="00B2076F">
        <w:t xml:space="preserve"> </w:t>
      </w:r>
      <w:proofErr w:type="spellStart"/>
      <w:r w:rsidRPr="00B2076F">
        <w:t>the</w:t>
      </w:r>
      <w:proofErr w:type="spellEnd"/>
      <w:r w:rsidRPr="00B2076F">
        <w:t xml:space="preserve"> </w:t>
      </w:r>
      <w:proofErr w:type="spellStart"/>
      <w:r w:rsidRPr="00B2076F">
        <w:t>rules</w:t>
      </w:r>
      <w:proofErr w:type="spellEnd"/>
      <w:r w:rsidRPr="00B2076F">
        <w:t xml:space="preserve"> </w:t>
      </w:r>
      <w:proofErr w:type="spellStart"/>
      <w:r w:rsidRPr="00B2076F">
        <w:t>on</w:t>
      </w:r>
      <w:proofErr w:type="spellEnd"/>
      <w:r w:rsidRPr="00B2076F">
        <w:t xml:space="preserve"> </w:t>
      </w:r>
      <w:proofErr w:type="spellStart"/>
      <w:r w:rsidRPr="00B2076F">
        <w:t>public</w:t>
      </w:r>
      <w:proofErr w:type="spellEnd"/>
      <w:r w:rsidRPr="00B2076F">
        <w:t xml:space="preserve"> </w:t>
      </w:r>
      <w:proofErr w:type="spellStart"/>
      <w:r w:rsidRPr="00B2076F">
        <w:t>procurement</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E0D66" w14:textId="77777777" w:rsidR="00ED70E4" w:rsidRDefault="00ED70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788DA" w14:textId="77777777" w:rsidR="0050311C" w:rsidRDefault="0050311C"/>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1"/>
      <w:gridCol w:w="3398"/>
      <w:gridCol w:w="1134"/>
      <w:gridCol w:w="1513"/>
      <w:gridCol w:w="1052"/>
    </w:tblGrid>
    <w:tr w:rsidR="00646730" w14:paraId="4F772EBC" w14:textId="77777777" w:rsidTr="00646730">
      <w:trPr>
        <w:trHeight w:val="889"/>
        <w:jc w:val="center"/>
      </w:trPr>
      <w:tc>
        <w:tcPr>
          <w:tcW w:w="2551" w:type="dxa"/>
          <w:tcBorders>
            <w:top w:val="single" w:sz="4" w:space="0" w:color="auto"/>
            <w:left w:val="single" w:sz="4" w:space="0" w:color="auto"/>
            <w:bottom w:val="single" w:sz="4" w:space="0" w:color="auto"/>
            <w:right w:val="single" w:sz="4" w:space="0" w:color="auto"/>
          </w:tcBorders>
          <w:hideMark/>
        </w:tcPr>
        <w:p w14:paraId="6B52BDCD" w14:textId="77777777" w:rsidR="00646730" w:rsidRDefault="00646730" w:rsidP="00646730">
          <w:pPr>
            <w:tabs>
              <w:tab w:val="center" w:pos="4153"/>
              <w:tab w:val="right" w:pos="8306"/>
            </w:tabs>
            <w:spacing w:after="0" w:line="240" w:lineRule="auto"/>
            <w:ind w:right="360"/>
            <w:jc w:val="both"/>
            <w:rPr>
              <w:rFonts w:ascii="Times New Roman" w:eastAsia="Calibri" w:hAnsi="Times New Roman" w:cs="Times New Roman"/>
              <w:sz w:val="18"/>
            </w:rPr>
          </w:pPr>
          <w:r>
            <w:rPr>
              <w:rFonts w:ascii="Times New Roman" w:eastAsia="Calibri" w:hAnsi="Times New Roman" w:cs="Times New Roman"/>
              <w:sz w:val="18"/>
            </w:rPr>
            <w:t>Iestāde:</w:t>
          </w:r>
          <w:r>
            <w:rPr>
              <w:rFonts w:ascii="Times New Roman" w:eastAsia="Calibri" w:hAnsi="Times New Roman" w:cs="Times New Roman"/>
              <w:b/>
              <w:bCs/>
              <w:sz w:val="18"/>
            </w:rPr>
            <w:t xml:space="preserve"> Finanšu ministrija</w:t>
          </w:r>
        </w:p>
        <w:p w14:paraId="60484CB2" w14:textId="77777777" w:rsidR="00646730" w:rsidRDefault="00646730" w:rsidP="00646730">
          <w:pPr>
            <w:tabs>
              <w:tab w:val="center" w:pos="4153"/>
              <w:tab w:val="right" w:pos="8306"/>
            </w:tabs>
            <w:spacing w:after="0" w:line="240" w:lineRule="auto"/>
            <w:jc w:val="both"/>
            <w:rPr>
              <w:rFonts w:ascii="Times New Roman" w:eastAsia="Calibri" w:hAnsi="Times New Roman" w:cs="Times New Roman"/>
              <w:b/>
              <w:bCs/>
              <w:sz w:val="18"/>
            </w:rPr>
          </w:pPr>
          <w:r>
            <w:rPr>
              <w:rFonts w:ascii="Times New Roman" w:eastAsia="Calibri" w:hAnsi="Times New Roman" w:cs="Times New Roman"/>
              <w:sz w:val="18"/>
            </w:rPr>
            <w:t>Struktūrvienība:</w:t>
          </w:r>
          <w:r>
            <w:rPr>
              <w:rFonts w:ascii="Times New Roman" w:eastAsia="Calibri" w:hAnsi="Times New Roman" w:cs="Times New Roman"/>
              <w:b/>
              <w:bCs/>
              <w:sz w:val="18"/>
            </w:rPr>
            <w:t xml:space="preserve"> </w:t>
          </w:r>
        </w:p>
        <w:p w14:paraId="50B31FCE" w14:textId="77777777" w:rsidR="00646730" w:rsidRDefault="00646730" w:rsidP="00646730">
          <w:pPr>
            <w:tabs>
              <w:tab w:val="center" w:pos="4153"/>
              <w:tab w:val="right" w:pos="8306"/>
            </w:tabs>
            <w:spacing w:after="0" w:line="240" w:lineRule="auto"/>
            <w:jc w:val="both"/>
            <w:rPr>
              <w:rFonts w:ascii="Times New Roman" w:eastAsia="Calibri" w:hAnsi="Times New Roman" w:cs="Times New Roman"/>
              <w:b/>
              <w:bCs/>
              <w:sz w:val="18"/>
            </w:rPr>
          </w:pPr>
          <w:r>
            <w:rPr>
              <w:rFonts w:ascii="Times New Roman" w:eastAsia="Calibri" w:hAnsi="Times New Roman" w:cs="Times New Roman"/>
              <w:b/>
              <w:bCs/>
              <w:sz w:val="18"/>
            </w:rPr>
            <w:t>Eiropas Savienības fondu vadības un kontroles departaments</w:t>
          </w:r>
        </w:p>
      </w:tc>
      <w:tc>
        <w:tcPr>
          <w:tcW w:w="3398" w:type="dxa"/>
          <w:tcBorders>
            <w:top w:val="single" w:sz="4" w:space="0" w:color="auto"/>
            <w:left w:val="single" w:sz="4" w:space="0" w:color="auto"/>
            <w:bottom w:val="single" w:sz="4" w:space="0" w:color="auto"/>
            <w:right w:val="single" w:sz="4" w:space="0" w:color="auto"/>
          </w:tcBorders>
        </w:tcPr>
        <w:p w14:paraId="02D80532" w14:textId="77777777" w:rsidR="00646730" w:rsidRDefault="00646730" w:rsidP="00646730">
          <w:pPr>
            <w:tabs>
              <w:tab w:val="center" w:pos="4153"/>
              <w:tab w:val="right" w:pos="8306"/>
            </w:tabs>
            <w:spacing w:after="0" w:line="240" w:lineRule="auto"/>
            <w:rPr>
              <w:rFonts w:ascii="Times New Roman" w:eastAsia="Calibri" w:hAnsi="Times New Roman" w:cs="Times New Roman"/>
              <w:sz w:val="18"/>
            </w:rPr>
          </w:pPr>
        </w:p>
      </w:tc>
      <w:tc>
        <w:tcPr>
          <w:tcW w:w="3699" w:type="dxa"/>
          <w:gridSpan w:val="3"/>
          <w:tcBorders>
            <w:top w:val="single" w:sz="4" w:space="0" w:color="auto"/>
            <w:left w:val="single" w:sz="4" w:space="0" w:color="auto"/>
            <w:bottom w:val="single" w:sz="4" w:space="0" w:color="auto"/>
            <w:right w:val="single" w:sz="4" w:space="0" w:color="auto"/>
          </w:tcBorders>
          <w:hideMark/>
        </w:tcPr>
        <w:p w14:paraId="344BFD19" w14:textId="77777777" w:rsidR="00646730" w:rsidRDefault="00646730" w:rsidP="00646730">
          <w:pPr>
            <w:tabs>
              <w:tab w:val="center" w:pos="4153"/>
              <w:tab w:val="right" w:pos="8306"/>
            </w:tabs>
            <w:spacing w:after="0" w:line="240" w:lineRule="auto"/>
            <w:rPr>
              <w:rFonts w:ascii="Times New Roman" w:eastAsia="Calibri" w:hAnsi="Times New Roman" w:cs="Times New Roman"/>
              <w:sz w:val="18"/>
            </w:rPr>
          </w:pPr>
          <w:r>
            <w:rPr>
              <w:rFonts w:ascii="Times New Roman" w:eastAsia="Calibri" w:hAnsi="Times New Roman" w:cs="Times New Roman"/>
              <w:sz w:val="18"/>
            </w:rPr>
            <w:t>Dokumenta nosaukums:</w:t>
          </w:r>
        </w:p>
        <w:p w14:paraId="623968D2" w14:textId="77777777" w:rsidR="00646730" w:rsidRDefault="00646730" w:rsidP="00646730">
          <w:pPr>
            <w:spacing w:after="0" w:line="240" w:lineRule="auto"/>
            <w:jc w:val="both"/>
            <w:rPr>
              <w:rFonts w:ascii="Times New Roman" w:eastAsia="Calibri" w:hAnsi="Times New Roman" w:cs="Times New Roman"/>
              <w:b/>
              <w:sz w:val="18"/>
              <w:szCs w:val="20"/>
            </w:rPr>
          </w:pPr>
          <w:r>
            <w:rPr>
              <w:rFonts w:ascii="Times New Roman" w:eastAsia="Calibri" w:hAnsi="Times New Roman" w:cs="Times New Roman"/>
              <w:b/>
              <w:sz w:val="18"/>
              <w:szCs w:val="20"/>
            </w:rPr>
            <w:t>Vadlīnijas par finanšu korekciju piemērošanu, ziņošanu par Eiropas Savienības fondu ieviešanā konstatētajām neatbilstībām, neatbilstoši veikto izdevumu atgūšanu 2014.-2020.gada plānošanas periodā</w:t>
          </w:r>
        </w:p>
      </w:tc>
    </w:tr>
    <w:tr w:rsidR="00646730" w14:paraId="17A31D0D" w14:textId="77777777" w:rsidTr="00646730">
      <w:trPr>
        <w:trHeight w:val="876"/>
        <w:jc w:val="center"/>
      </w:trPr>
      <w:tc>
        <w:tcPr>
          <w:tcW w:w="2551" w:type="dxa"/>
          <w:tcBorders>
            <w:top w:val="single" w:sz="2" w:space="0" w:color="auto"/>
            <w:left w:val="single" w:sz="4" w:space="0" w:color="auto"/>
            <w:bottom w:val="single" w:sz="12" w:space="0" w:color="auto"/>
            <w:right w:val="single" w:sz="4" w:space="0" w:color="auto"/>
          </w:tcBorders>
          <w:hideMark/>
        </w:tcPr>
        <w:p w14:paraId="2A48B219" w14:textId="77777777" w:rsidR="00646730" w:rsidRDefault="00646730" w:rsidP="00646730">
          <w:pPr>
            <w:tabs>
              <w:tab w:val="center" w:pos="4153"/>
              <w:tab w:val="right" w:pos="8306"/>
            </w:tabs>
            <w:spacing w:after="0" w:line="240" w:lineRule="auto"/>
            <w:rPr>
              <w:rFonts w:ascii="Times New Roman" w:eastAsia="Calibri" w:hAnsi="Times New Roman" w:cs="Times New Roman"/>
              <w:b/>
              <w:bCs/>
              <w:sz w:val="18"/>
            </w:rPr>
          </w:pPr>
          <w:r>
            <w:rPr>
              <w:rFonts w:ascii="Times New Roman" w:eastAsia="Calibri" w:hAnsi="Times New Roman" w:cs="Times New Roman"/>
              <w:sz w:val="18"/>
            </w:rPr>
            <w:t>Sagatavoja:</w:t>
          </w:r>
          <w:r>
            <w:rPr>
              <w:rFonts w:ascii="Times New Roman" w:eastAsia="Calibri" w:hAnsi="Times New Roman" w:cs="Times New Roman"/>
              <w:b/>
              <w:bCs/>
              <w:sz w:val="18"/>
            </w:rPr>
            <w:t xml:space="preserve"> </w:t>
          </w:r>
        </w:p>
        <w:p w14:paraId="41E52DB7" w14:textId="77777777" w:rsidR="00646730" w:rsidRDefault="00646730" w:rsidP="00646730">
          <w:pPr>
            <w:tabs>
              <w:tab w:val="center" w:pos="4153"/>
              <w:tab w:val="right" w:pos="8306"/>
            </w:tabs>
            <w:spacing w:after="0" w:line="240" w:lineRule="auto"/>
            <w:jc w:val="both"/>
            <w:rPr>
              <w:rFonts w:ascii="Times New Roman" w:eastAsia="Calibri" w:hAnsi="Times New Roman" w:cs="Times New Roman"/>
              <w:sz w:val="18"/>
            </w:rPr>
          </w:pPr>
          <w:r>
            <w:rPr>
              <w:rFonts w:ascii="Times New Roman" w:eastAsia="Calibri" w:hAnsi="Times New Roman" w:cs="Times New Roman"/>
              <w:b/>
              <w:bCs/>
              <w:sz w:val="18"/>
            </w:rPr>
            <w:t>Eiropas Savienības fondu ieviešanas vadības nodaļa</w:t>
          </w:r>
        </w:p>
      </w:tc>
      <w:tc>
        <w:tcPr>
          <w:tcW w:w="3398" w:type="dxa"/>
          <w:tcBorders>
            <w:top w:val="single" w:sz="2" w:space="0" w:color="auto"/>
            <w:left w:val="single" w:sz="4" w:space="0" w:color="auto"/>
            <w:bottom w:val="single" w:sz="12" w:space="0" w:color="auto"/>
            <w:right w:val="single" w:sz="4" w:space="0" w:color="auto"/>
          </w:tcBorders>
          <w:hideMark/>
        </w:tcPr>
        <w:p w14:paraId="1017AE02" w14:textId="77777777" w:rsidR="00646730" w:rsidRDefault="00646730" w:rsidP="00646730">
          <w:pPr>
            <w:tabs>
              <w:tab w:val="center" w:pos="4153"/>
              <w:tab w:val="right" w:pos="8306"/>
            </w:tabs>
            <w:spacing w:after="0" w:line="240" w:lineRule="auto"/>
            <w:rPr>
              <w:rFonts w:ascii="Times New Roman" w:eastAsia="Calibri" w:hAnsi="Times New Roman" w:cs="Times New Roman"/>
              <w:b/>
              <w:bCs/>
              <w:sz w:val="18"/>
            </w:rPr>
          </w:pPr>
          <w:r>
            <w:rPr>
              <w:rFonts w:ascii="Times New Roman" w:eastAsia="Calibri" w:hAnsi="Times New Roman" w:cs="Times New Roman"/>
              <w:sz w:val="18"/>
            </w:rPr>
            <w:t xml:space="preserve">Apstiprināts: </w:t>
          </w:r>
          <w:r>
            <w:rPr>
              <w:rFonts w:ascii="Times New Roman" w:eastAsia="Calibri" w:hAnsi="Times New Roman" w:cs="Times New Roman"/>
              <w:b/>
              <w:bCs/>
              <w:sz w:val="18"/>
            </w:rPr>
            <w:t xml:space="preserve"> </w:t>
          </w:r>
        </w:p>
        <w:p w14:paraId="777B451C" w14:textId="77777777" w:rsidR="00646730" w:rsidRDefault="00646730" w:rsidP="00646730">
          <w:pPr>
            <w:tabs>
              <w:tab w:val="center" w:pos="4153"/>
              <w:tab w:val="right" w:pos="8306"/>
            </w:tabs>
            <w:spacing w:after="0" w:line="240" w:lineRule="auto"/>
            <w:jc w:val="both"/>
            <w:rPr>
              <w:rFonts w:ascii="Times New Roman" w:eastAsia="Calibri" w:hAnsi="Times New Roman" w:cs="Times New Roman"/>
              <w:b/>
              <w:bCs/>
              <w:sz w:val="18"/>
              <w:szCs w:val="18"/>
            </w:rPr>
          </w:pPr>
          <w:r>
            <w:rPr>
              <w:rFonts w:ascii="Times New Roman" w:eastAsia="Calibri" w:hAnsi="Times New Roman" w:cs="Times New Roman"/>
              <w:b/>
              <w:bCs/>
              <w:sz w:val="18"/>
              <w:szCs w:val="18"/>
            </w:rPr>
            <w:t xml:space="preserve">Vadošās iestādes vadītāja vietā – Eiropas Savienības fondu uzraudzības departamenta direktore </w:t>
          </w:r>
          <w:proofErr w:type="spellStart"/>
          <w:r>
            <w:rPr>
              <w:rFonts w:ascii="Times New Roman" w:eastAsia="Calibri" w:hAnsi="Times New Roman" w:cs="Times New Roman"/>
              <w:b/>
              <w:bCs/>
              <w:sz w:val="18"/>
              <w:szCs w:val="18"/>
            </w:rPr>
            <w:t>D.Rancāne</w:t>
          </w:r>
          <w:proofErr w:type="spellEnd"/>
        </w:p>
      </w:tc>
      <w:tc>
        <w:tcPr>
          <w:tcW w:w="1134" w:type="dxa"/>
          <w:tcBorders>
            <w:top w:val="single" w:sz="2" w:space="0" w:color="auto"/>
            <w:left w:val="single" w:sz="4" w:space="0" w:color="auto"/>
            <w:bottom w:val="single" w:sz="12" w:space="0" w:color="auto"/>
            <w:right w:val="single" w:sz="4" w:space="0" w:color="auto"/>
          </w:tcBorders>
          <w:hideMark/>
        </w:tcPr>
        <w:p w14:paraId="4F1740D3" w14:textId="77777777" w:rsidR="00646730" w:rsidRDefault="00646730" w:rsidP="00646730">
          <w:pPr>
            <w:tabs>
              <w:tab w:val="center" w:pos="4153"/>
              <w:tab w:val="right" w:pos="8306"/>
            </w:tabs>
            <w:spacing w:after="0" w:line="240" w:lineRule="auto"/>
            <w:jc w:val="both"/>
            <w:rPr>
              <w:rFonts w:ascii="Times New Roman" w:eastAsia="Calibri" w:hAnsi="Times New Roman" w:cs="Times New Roman"/>
              <w:sz w:val="18"/>
            </w:rPr>
          </w:pPr>
          <w:r>
            <w:rPr>
              <w:rFonts w:ascii="Times New Roman" w:eastAsia="Calibri" w:hAnsi="Times New Roman" w:cs="Times New Roman"/>
              <w:sz w:val="18"/>
            </w:rPr>
            <w:t>Variants:</w:t>
          </w:r>
        </w:p>
        <w:p w14:paraId="4A1ED005" w14:textId="66B3BE08" w:rsidR="00646730" w:rsidRDefault="00B34FE0" w:rsidP="00646730">
          <w:pPr>
            <w:tabs>
              <w:tab w:val="center" w:pos="4153"/>
              <w:tab w:val="right" w:pos="8306"/>
            </w:tabs>
            <w:spacing w:after="0" w:line="240" w:lineRule="auto"/>
            <w:jc w:val="center"/>
            <w:rPr>
              <w:rFonts w:ascii="Times New Roman" w:eastAsia="Calibri" w:hAnsi="Times New Roman" w:cs="Times New Roman"/>
              <w:sz w:val="18"/>
            </w:rPr>
          </w:pPr>
          <w:r>
            <w:rPr>
              <w:rFonts w:ascii="Times New Roman" w:eastAsia="Calibri" w:hAnsi="Times New Roman" w:cs="Times New Roman"/>
              <w:sz w:val="18"/>
            </w:rPr>
            <w:t>4</w:t>
          </w:r>
          <w:bookmarkStart w:id="0" w:name="_GoBack"/>
          <w:bookmarkEnd w:id="0"/>
        </w:p>
      </w:tc>
      <w:tc>
        <w:tcPr>
          <w:tcW w:w="1513" w:type="dxa"/>
          <w:tcBorders>
            <w:top w:val="single" w:sz="2" w:space="0" w:color="auto"/>
            <w:left w:val="single" w:sz="4" w:space="0" w:color="auto"/>
            <w:bottom w:val="single" w:sz="12" w:space="0" w:color="auto"/>
            <w:right w:val="single" w:sz="4" w:space="0" w:color="auto"/>
          </w:tcBorders>
        </w:tcPr>
        <w:p w14:paraId="1B1F22D7" w14:textId="77777777" w:rsidR="00646730" w:rsidRDefault="00646730" w:rsidP="00646730">
          <w:pPr>
            <w:tabs>
              <w:tab w:val="center" w:pos="4153"/>
              <w:tab w:val="right" w:pos="8306"/>
            </w:tabs>
            <w:spacing w:after="0" w:line="240" w:lineRule="auto"/>
            <w:jc w:val="both"/>
            <w:rPr>
              <w:rFonts w:ascii="Times New Roman" w:eastAsia="Calibri" w:hAnsi="Times New Roman" w:cs="Times New Roman"/>
              <w:sz w:val="18"/>
            </w:rPr>
          </w:pPr>
          <w:r>
            <w:rPr>
              <w:rFonts w:ascii="Times New Roman" w:eastAsia="Calibri" w:hAnsi="Times New Roman" w:cs="Times New Roman"/>
              <w:sz w:val="18"/>
            </w:rPr>
            <w:t>Datums:</w:t>
          </w:r>
        </w:p>
        <w:p w14:paraId="14884F7A" w14:textId="16DBE876" w:rsidR="00646730" w:rsidRDefault="003B7AD9" w:rsidP="00646730">
          <w:pPr>
            <w:tabs>
              <w:tab w:val="center" w:pos="4153"/>
              <w:tab w:val="right" w:pos="8306"/>
            </w:tabs>
            <w:spacing w:after="0" w:line="240" w:lineRule="auto"/>
            <w:jc w:val="center"/>
            <w:rPr>
              <w:rFonts w:ascii="Times New Roman" w:eastAsia="Calibri" w:hAnsi="Times New Roman" w:cs="Times New Roman"/>
              <w:sz w:val="18"/>
            </w:rPr>
          </w:pPr>
          <w:r>
            <w:rPr>
              <w:rFonts w:ascii="Times New Roman" w:hAnsi="Times New Roman"/>
              <w:sz w:val="18"/>
              <w:szCs w:val="18"/>
            </w:rPr>
            <w:t>22.08.2017.</w:t>
          </w:r>
        </w:p>
      </w:tc>
      <w:tc>
        <w:tcPr>
          <w:tcW w:w="1052" w:type="dxa"/>
          <w:tcBorders>
            <w:top w:val="single" w:sz="2" w:space="0" w:color="auto"/>
            <w:left w:val="single" w:sz="4" w:space="0" w:color="auto"/>
            <w:bottom w:val="single" w:sz="12" w:space="0" w:color="auto"/>
            <w:right w:val="single" w:sz="4" w:space="0" w:color="auto"/>
          </w:tcBorders>
        </w:tcPr>
        <w:p w14:paraId="4C5DA5BB" w14:textId="77777777" w:rsidR="00646730" w:rsidRDefault="00646730" w:rsidP="00646730">
          <w:pPr>
            <w:tabs>
              <w:tab w:val="center" w:pos="4153"/>
              <w:tab w:val="right" w:pos="8306"/>
            </w:tabs>
            <w:spacing w:after="0" w:line="240" w:lineRule="auto"/>
            <w:jc w:val="both"/>
            <w:rPr>
              <w:rFonts w:ascii="Times New Roman" w:eastAsia="Calibri" w:hAnsi="Times New Roman" w:cs="Times New Roman"/>
              <w:sz w:val="18"/>
            </w:rPr>
          </w:pPr>
          <w:r>
            <w:rPr>
              <w:rFonts w:ascii="Times New Roman" w:eastAsia="Calibri" w:hAnsi="Times New Roman" w:cs="Times New Roman"/>
              <w:sz w:val="18"/>
            </w:rPr>
            <w:t>Lappuses:</w:t>
          </w:r>
        </w:p>
        <w:p w14:paraId="3FABC96E" w14:textId="5F06163D" w:rsidR="00646730" w:rsidRDefault="00646730" w:rsidP="00646730">
          <w:pPr>
            <w:tabs>
              <w:tab w:val="center" w:pos="4153"/>
              <w:tab w:val="right" w:pos="8306"/>
            </w:tabs>
            <w:spacing w:after="0" w:line="240" w:lineRule="auto"/>
            <w:jc w:val="center"/>
            <w:rPr>
              <w:rFonts w:ascii="Times New Roman" w:eastAsia="Calibri" w:hAnsi="Times New Roman" w:cs="Times New Roman"/>
              <w:b/>
              <w:sz w:val="18"/>
            </w:rPr>
          </w:pPr>
          <w:r>
            <w:rPr>
              <w:rFonts w:ascii="Times New Roman" w:eastAsia="Calibri" w:hAnsi="Times New Roman" w:cs="Times New Roman"/>
              <w:b/>
              <w:sz w:val="18"/>
            </w:rPr>
            <w:fldChar w:fldCharType="begin"/>
          </w:r>
          <w:r>
            <w:rPr>
              <w:rFonts w:ascii="Times New Roman" w:eastAsia="Calibri" w:hAnsi="Times New Roman" w:cs="Times New Roman"/>
              <w:b/>
              <w:sz w:val="18"/>
            </w:rPr>
            <w:instrText xml:space="preserve"> PAGE   \* MERGEFORMAT </w:instrText>
          </w:r>
          <w:r>
            <w:rPr>
              <w:rFonts w:ascii="Times New Roman" w:eastAsia="Calibri" w:hAnsi="Times New Roman" w:cs="Times New Roman"/>
              <w:b/>
              <w:sz w:val="18"/>
            </w:rPr>
            <w:fldChar w:fldCharType="separate"/>
          </w:r>
          <w:r w:rsidR="00B34FE0">
            <w:rPr>
              <w:rFonts w:ascii="Times New Roman" w:eastAsia="Calibri" w:hAnsi="Times New Roman" w:cs="Times New Roman"/>
              <w:b/>
              <w:noProof/>
              <w:sz w:val="18"/>
            </w:rPr>
            <w:t>1</w:t>
          </w:r>
          <w:r>
            <w:rPr>
              <w:rFonts w:ascii="Times New Roman" w:eastAsia="Calibri" w:hAnsi="Times New Roman" w:cs="Times New Roman"/>
              <w:b/>
              <w:sz w:val="18"/>
            </w:rPr>
            <w:fldChar w:fldCharType="end"/>
          </w:r>
          <w:r>
            <w:rPr>
              <w:rFonts w:ascii="Times New Roman" w:eastAsia="Calibri" w:hAnsi="Times New Roman" w:cs="Times New Roman"/>
              <w:b/>
              <w:sz w:val="18"/>
            </w:rPr>
            <w:t xml:space="preserve"> no 3</w:t>
          </w:r>
        </w:p>
        <w:p w14:paraId="3C5B5A47" w14:textId="77777777" w:rsidR="00646730" w:rsidRDefault="00646730" w:rsidP="00646730">
          <w:pPr>
            <w:tabs>
              <w:tab w:val="center" w:pos="4153"/>
              <w:tab w:val="right" w:pos="8306"/>
            </w:tabs>
            <w:spacing w:after="0" w:line="240" w:lineRule="auto"/>
            <w:jc w:val="center"/>
            <w:rPr>
              <w:rFonts w:ascii="Times New Roman" w:eastAsia="Calibri" w:hAnsi="Times New Roman" w:cs="Times New Roman"/>
              <w:b/>
              <w:sz w:val="18"/>
            </w:rPr>
          </w:pPr>
        </w:p>
      </w:tc>
    </w:tr>
  </w:tbl>
  <w:p w14:paraId="5F7AEE36" w14:textId="77777777" w:rsidR="00ED70E4" w:rsidRDefault="00ED70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B6149"/>
    <w:multiLevelType w:val="multilevel"/>
    <w:tmpl w:val="AE7E9360"/>
    <w:lvl w:ilvl="0">
      <w:start w:val="1"/>
      <w:numFmt w:val="decimal"/>
      <w:lvlText w:val="%1."/>
      <w:lvlJc w:val="left"/>
      <w:pPr>
        <w:ind w:left="786" w:hanging="360"/>
      </w:pPr>
      <w:rPr>
        <w:rFonts w:hint="default"/>
        <w:b/>
      </w:rPr>
    </w:lvl>
    <w:lvl w:ilvl="1">
      <w:start w:val="1"/>
      <w:numFmt w:val="decimal"/>
      <w:lvlText w:val="%1.%2."/>
      <w:lvlJc w:val="left"/>
      <w:pPr>
        <w:tabs>
          <w:tab w:val="num" w:pos="794"/>
        </w:tabs>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B044C15"/>
    <w:multiLevelType w:val="hybridMultilevel"/>
    <w:tmpl w:val="F7E6C80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EA456BC"/>
    <w:multiLevelType w:val="multilevel"/>
    <w:tmpl w:val="2DD80D24"/>
    <w:lvl w:ilvl="0">
      <w:start w:val="1"/>
      <w:numFmt w:val="decimal"/>
      <w:lvlText w:val="%1."/>
      <w:lvlJc w:val="left"/>
      <w:pPr>
        <w:ind w:left="786" w:hanging="360"/>
      </w:pPr>
      <w:rPr>
        <w:rFonts w:hint="default"/>
      </w:rPr>
    </w:lvl>
    <w:lvl w:ilvl="1">
      <w:start w:val="1"/>
      <w:numFmt w:val="decimal"/>
      <w:lvlText w:val="%1.%2."/>
      <w:lvlJc w:val="left"/>
      <w:pPr>
        <w:tabs>
          <w:tab w:val="num" w:pos="794"/>
        </w:tabs>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D80C1B"/>
    <w:multiLevelType w:val="multilevel"/>
    <w:tmpl w:val="AE7E9360"/>
    <w:lvl w:ilvl="0">
      <w:start w:val="1"/>
      <w:numFmt w:val="decimal"/>
      <w:lvlText w:val="%1."/>
      <w:lvlJc w:val="left"/>
      <w:pPr>
        <w:ind w:left="786" w:hanging="360"/>
      </w:pPr>
      <w:rPr>
        <w:rFonts w:hint="default"/>
        <w:b/>
      </w:rPr>
    </w:lvl>
    <w:lvl w:ilvl="1">
      <w:start w:val="1"/>
      <w:numFmt w:val="decimal"/>
      <w:lvlText w:val="%1.%2."/>
      <w:lvlJc w:val="left"/>
      <w:pPr>
        <w:tabs>
          <w:tab w:val="num" w:pos="794"/>
        </w:tabs>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A5E3A23"/>
    <w:multiLevelType w:val="hybridMultilevel"/>
    <w:tmpl w:val="04B870DE"/>
    <w:lvl w:ilvl="0" w:tplc="04260001">
      <w:start w:val="1"/>
      <w:numFmt w:val="bullet"/>
      <w:lvlText w:val=""/>
      <w:lvlJc w:val="left"/>
      <w:pPr>
        <w:ind w:left="1944" w:hanging="360"/>
      </w:pPr>
      <w:rPr>
        <w:rFonts w:ascii="Symbol" w:hAnsi="Symbol" w:hint="default"/>
      </w:rPr>
    </w:lvl>
    <w:lvl w:ilvl="1" w:tplc="04260003" w:tentative="1">
      <w:start w:val="1"/>
      <w:numFmt w:val="bullet"/>
      <w:lvlText w:val="o"/>
      <w:lvlJc w:val="left"/>
      <w:pPr>
        <w:ind w:left="2664" w:hanging="360"/>
      </w:pPr>
      <w:rPr>
        <w:rFonts w:ascii="Courier New" w:hAnsi="Courier New" w:cs="Courier New" w:hint="default"/>
      </w:rPr>
    </w:lvl>
    <w:lvl w:ilvl="2" w:tplc="04260005" w:tentative="1">
      <w:start w:val="1"/>
      <w:numFmt w:val="bullet"/>
      <w:lvlText w:val=""/>
      <w:lvlJc w:val="left"/>
      <w:pPr>
        <w:ind w:left="3384" w:hanging="360"/>
      </w:pPr>
      <w:rPr>
        <w:rFonts w:ascii="Wingdings" w:hAnsi="Wingdings" w:hint="default"/>
      </w:rPr>
    </w:lvl>
    <w:lvl w:ilvl="3" w:tplc="04260001" w:tentative="1">
      <w:start w:val="1"/>
      <w:numFmt w:val="bullet"/>
      <w:lvlText w:val=""/>
      <w:lvlJc w:val="left"/>
      <w:pPr>
        <w:ind w:left="4104" w:hanging="360"/>
      </w:pPr>
      <w:rPr>
        <w:rFonts w:ascii="Symbol" w:hAnsi="Symbol" w:hint="default"/>
      </w:rPr>
    </w:lvl>
    <w:lvl w:ilvl="4" w:tplc="04260003" w:tentative="1">
      <w:start w:val="1"/>
      <w:numFmt w:val="bullet"/>
      <w:lvlText w:val="o"/>
      <w:lvlJc w:val="left"/>
      <w:pPr>
        <w:ind w:left="4824" w:hanging="360"/>
      </w:pPr>
      <w:rPr>
        <w:rFonts w:ascii="Courier New" w:hAnsi="Courier New" w:cs="Courier New" w:hint="default"/>
      </w:rPr>
    </w:lvl>
    <w:lvl w:ilvl="5" w:tplc="04260005" w:tentative="1">
      <w:start w:val="1"/>
      <w:numFmt w:val="bullet"/>
      <w:lvlText w:val=""/>
      <w:lvlJc w:val="left"/>
      <w:pPr>
        <w:ind w:left="5544" w:hanging="360"/>
      </w:pPr>
      <w:rPr>
        <w:rFonts w:ascii="Wingdings" w:hAnsi="Wingdings" w:hint="default"/>
      </w:rPr>
    </w:lvl>
    <w:lvl w:ilvl="6" w:tplc="04260001" w:tentative="1">
      <w:start w:val="1"/>
      <w:numFmt w:val="bullet"/>
      <w:lvlText w:val=""/>
      <w:lvlJc w:val="left"/>
      <w:pPr>
        <w:ind w:left="6264" w:hanging="360"/>
      </w:pPr>
      <w:rPr>
        <w:rFonts w:ascii="Symbol" w:hAnsi="Symbol" w:hint="default"/>
      </w:rPr>
    </w:lvl>
    <w:lvl w:ilvl="7" w:tplc="04260003" w:tentative="1">
      <w:start w:val="1"/>
      <w:numFmt w:val="bullet"/>
      <w:lvlText w:val="o"/>
      <w:lvlJc w:val="left"/>
      <w:pPr>
        <w:ind w:left="6984" w:hanging="360"/>
      </w:pPr>
      <w:rPr>
        <w:rFonts w:ascii="Courier New" w:hAnsi="Courier New" w:cs="Courier New" w:hint="default"/>
      </w:rPr>
    </w:lvl>
    <w:lvl w:ilvl="8" w:tplc="04260005" w:tentative="1">
      <w:start w:val="1"/>
      <w:numFmt w:val="bullet"/>
      <w:lvlText w:val=""/>
      <w:lvlJc w:val="left"/>
      <w:pPr>
        <w:ind w:left="7704" w:hanging="360"/>
      </w:pPr>
      <w:rPr>
        <w:rFonts w:ascii="Wingdings" w:hAnsi="Wingdings" w:hint="default"/>
      </w:rPr>
    </w:lvl>
  </w:abstractNum>
  <w:abstractNum w:abstractNumId="5" w15:restartNumberingAfterBreak="0">
    <w:nsid w:val="25C06EBC"/>
    <w:multiLevelType w:val="hybridMultilevel"/>
    <w:tmpl w:val="D0ACE176"/>
    <w:lvl w:ilvl="0" w:tplc="0426000F">
      <w:start w:val="1"/>
      <w:numFmt w:val="decimal"/>
      <w:lvlText w:val="%1."/>
      <w:lvlJc w:val="left"/>
      <w:pPr>
        <w:ind w:left="1512" w:hanging="360"/>
      </w:pPr>
    </w:lvl>
    <w:lvl w:ilvl="1" w:tplc="04260019" w:tentative="1">
      <w:start w:val="1"/>
      <w:numFmt w:val="lowerLetter"/>
      <w:lvlText w:val="%2."/>
      <w:lvlJc w:val="left"/>
      <w:pPr>
        <w:ind w:left="2232" w:hanging="360"/>
      </w:pPr>
    </w:lvl>
    <w:lvl w:ilvl="2" w:tplc="0426001B" w:tentative="1">
      <w:start w:val="1"/>
      <w:numFmt w:val="lowerRoman"/>
      <w:lvlText w:val="%3."/>
      <w:lvlJc w:val="right"/>
      <w:pPr>
        <w:ind w:left="2952" w:hanging="180"/>
      </w:pPr>
    </w:lvl>
    <w:lvl w:ilvl="3" w:tplc="0426000F" w:tentative="1">
      <w:start w:val="1"/>
      <w:numFmt w:val="decimal"/>
      <w:lvlText w:val="%4."/>
      <w:lvlJc w:val="left"/>
      <w:pPr>
        <w:ind w:left="3672" w:hanging="360"/>
      </w:pPr>
    </w:lvl>
    <w:lvl w:ilvl="4" w:tplc="04260019" w:tentative="1">
      <w:start w:val="1"/>
      <w:numFmt w:val="lowerLetter"/>
      <w:lvlText w:val="%5."/>
      <w:lvlJc w:val="left"/>
      <w:pPr>
        <w:ind w:left="4392" w:hanging="360"/>
      </w:pPr>
    </w:lvl>
    <w:lvl w:ilvl="5" w:tplc="0426001B" w:tentative="1">
      <w:start w:val="1"/>
      <w:numFmt w:val="lowerRoman"/>
      <w:lvlText w:val="%6."/>
      <w:lvlJc w:val="right"/>
      <w:pPr>
        <w:ind w:left="5112" w:hanging="180"/>
      </w:pPr>
    </w:lvl>
    <w:lvl w:ilvl="6" w:tplc="0426000F" w:tentative="1">
      <w:start w:val="1"/>
      <w:numFmt w:val="decimal"/>
      <w:lvlText w:val="%7."/>
      <w:lvlJc w:val="left"/>
      <w:pPr>
        <w:ind w:left="5832" w:hanging="360"/>
      </w:pPr>
    </w:lvl>
    <w:lvl w:ilvl="7" w:tplc="04260019" w:tentative="1">
      <w:start w:val="1"/>
      <w:numFmt w:val="lowerLetter"/>
      <w:lvlText w:val="%8."/>
      <w:lvlJc w:val="left"/>
      <w:pPr>
        <w:ind w:left="6552" w:hanging="360"/>
      </w:pPr>
    </w:lvl>
    <w:lvl w:ilvl="8" w:tplc="0426001B" w:tentative="1">
      <w:start w:val="1"/>
      <w:numFmt w:val="lowerRoman"/>
      <w:lvlText w:val="%9."/>
      <w:lvlJc w:val="right"/>
      <w:pPr>
        <w:ind w:left="7272" w:hanging="180"/>
      </w:pPr>
    </w:lvl>
  </w:abstractNum>
  <w:abstractNum w:abstractNumId="6" w15:restartNumberingAfterBreak="0">
    <w:nsid w:val="26084D22"/>
    <w:multiLevelType w:val="hybridMultilevel"/>
    <w:tmpl w:val="AD2AB35A"/>
    <w:lvl w:ilvl="0" w:tplc="0426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7523E3F"/>
    <w:multiLevelType w:val="hybridMultilevel"/>
    <w:tmpl w:val="68D40AB6"/>
    <w:lvl w:ilvl="0" w:tplc="04260001">
      <w:start w:val="1"/>
      <w:numFmt w:val="bullet"/>
      <w:lvlText w:val=""/>
      <w:lvlJc w:val="left"/>
      <w:pPr>
        <w:ind w:left="720" w:hanging="360"/>
      </w:pPr>
      <w:rPr>
        <w:rFonts w:ascii="Symbol" w:hAnsi="Symbol" w:hint="default"/>
        <w:b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8" w15:restartNumberingAfterBreak="0">
    <w:nsid w:val="2AA3720C"/>
    <w:multiLevelType w:val="hybridMultilevel"/>
    <w:tmpl w:val="7AF8D7E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E9D0709"/>
    <w:multiLevelType w:val="hybridMultilevel"/>
    <w:tmpl w:val="F8F2FBF0"/>
    <w:lvl w:ilvl="0" w:tplc="04260017">
      <w:start w:val="1"/>
      <w:numFmt w:val="lowerLetter"/>
      <w:lvlText w:val="%1)"/>
      <w:lvlJc w:val="left"/>
      <w:pPr>
        <w:ind w:left="720" w:hanging="360"/>
      </w:pPr>
    </w:lvl>
    <w:lvl w:ilvl="1" w:tplc="04260017">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EB75F31"/>
    <w:multiLevelType w:val="multilevel"/>
    <w:tmpl w:val="2DD80D24"/>
    <w:lvl w:ilvl="0">
      <w:start w:val="1"/>
      <w:numFmt w:val="decimal"/>
      <w:lvlText w:val="%1."/>
      <w:lvlJc w:val="left"/>
      <w:pPr>
        <w:ind w:left="786" w:hanging="360"/>
      </w:pPr>
      <w:rPr>
        <w:rFonts w:hint="default"/>
      </w:rPr>
    </w:lvl>
    <w:lvl w:ilvl="1">
      <w:start w:val="1"/>
      <w:numFmt w:val="decimal"/>
      <w:lvlText w:val="%1.%2."/>
      <w:lvlJc w:val="left"/>
      <w:pPr>
        <w:tabs>
          <w:tab w:val="num" w:pos="794"/>
        </w:tabs>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4B30321"/>
    <w:multiLevelType w:val="multilevel"/>
    <w:tmpl w:val="2DD80D24"/>
    <w:lvl w:ilvl="0">
      <w:start w:val="1"/>
      <w:numFmt w:val="decimal"/>
      <w:lvlText w:val="%1."/>
      <w:lvlJc w:val="left"/>
      <w:pPr>
        <w:ind w:left="786" w:hanging="360"/>
      </w:pPr>
      <w:rPr>
        <w:rFonts w:hint="default"/>
      </w:rPr>
    </w:lvl>
    <w:lvl w:ilvl="1">
      <w:start w:val="1"/>
      <w:numFmt w:val="decimal"/>
      <w:lvlText w:val="%1.%2."/>
      <w:lvlJc w:val="left"/>
      <w:pPr>
        <w:tabs>
          <w:tab w:val="num" w:pos="794"/>
        </w:tabs>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670212C"/>
    <w:multiLevelType w:val="hybridMultilevel"/>
    <w:tmpl w:val="C86A0E40"/>
    <w:lvl w:ilvl="0" w:tplc="04260001">
      <w:start w:val="1"/>
      <w:numFmt w:val="bullet"/>
      <w:lvlText w:val=""/>
      <w:lvlJc w:val="left"/>
      <w:pPr>
        <w:ind w:left="2278" w:hanging="360"/>
      </w:pPr>
      <w:rPr>
        <w:rFonts w:ascii="Symbol" w:hAnsi="Symbol" w:hint="default"/>
      </w:rPr>
    </w:lvl>
    <w:lvl w:ilvl="1" w:tplc="04260003" w:tentative="1">
      <w:start w:val="1"/>
      <w:numFmt w:val="bullet"/>
      <w:lvlText w:val="o"/>
      <w:lvlJc w:val="left"/>
      <w:pPr>
        <w:ind w:left="2998" w:hanging="360"/>
      </w:pPr>
      <w:rPr>
        <w:rFonts w:ascii="Courier New" w:hAnsi="Courier New" w:cs="Courier New" w:hint="default"/>
      </w:rPr>
    </w:lvl>
    <w:lvl w:ilvl="2" w:tplc="04260005" w:tentative="1">
      <w:start w:val="1"/>
      <w:numFmt w:val="bullet"/>
      <w:lvlText w:val=""/>
      <w:lvlJc w:val="left"/>
      <w:pPr>
        <w:ind w:left="3718" w:hanging="360"/>
      </w:pPr>
      <w:rPr>
        <w:rFonts w:ascii="Wingdings" w:hAnsi="Wingdings" w:hint="default"/>
      </w:rPr>
    </w:lvl>
    <w:lvl w:ilvl="3" w:tplc="04260001" w:tentative="1">
      <w:start w:val="1"/>
      <w:numFmt w:val="bullet"/>
      <w:lvlText w:val=""/>
      <w:lvlJc w:val="left"/>
      <w:pPr>
        <w:ind w:left="4438" w:hanging="360"/>
      </w:pPr>
      <w:rPr>
        <w:rFonts w:ascii="Symbol" w:hAnsi="Symbol" w:hint="default"/>
      </w:rPr>
    </w:lvl>
    <w:lvl w:ilvl="4" w:tplc="04260003" w:tentative="1">
      <w:start w:val="1"/>
      <w:numFmt w:val="bullet"/>
      <w:lvlText w:val="o"/>
      <w:lvlJc w:val="left"/>
      <w:pPr>
        <w:ind w:left="5158" w:hanging="360"/>
      </w:pPr>
      <w:rPr>
        <w:rFonts w:ascii="Courier New" w:hAnsi="Courier New" w:cs="Courier New" w:hint="default"/>
      </w:rPr>
    </w:lvl>
    <w:lvl w:ilvl="5" w:tplc="04260005" w:tentative="1">
      <w:start w:val="1"/>
      <w:numFmt w:val="bullet"/>
      <w:lvlText w:val=""/>
      <w:lvlJc w:val="left"/>
      <w:pPr>
        <w:ind w:left="5878" w:hanging="360"/>
      </w:pPr>
      <w:rPr>
        <w:rFonts w:ascii="Wingdings" w:hAnsi="Wingdings" w:hint="default"/>
      </w:rPr>
    </w:lvl>
    <w:lvl w:ilvl="6" w:tplc="04260001" w:tentative="1">
      <w:start w:val="1"/>
      <w:numFmt w:val="bullet"/>
      <w:lvlText w:val=""/>
      <w:lvlJc w:val="left"/>
      <w:pPr>
        <w:ind w:left="6598" w:hanging="360"/>
      </w:pPr>
      <w:rPr>
        <w:rFonts w:ascii="Symbol" w:hAnsi="Symbol" w:hint="default"/>
      </w:rPr>
    </w:lvl>
    <w:lvl w:ilvl="7" w:tplc="04260003" w:tentative="1">
      <w:start w:val="1"/>
      <w:numFmt w:val="bullet"/>
      <w:lvlText w:val="o"/>
      <w:lvlJc w:val="left"/>
      <w:pPr>
        <w:ind w:left="7318" w:hanging="360"/>
      </w:pPr>
      <w:rPr>
        <w:rFonts w:ascii="Courier New" w:hAnsi="Courier New" w:cs="Courier New" w:hint="default"/>
      </w:rPr>
    </w:lvl>
    <w:lvl w:ilvl="8" w:tplc="04260005" w:tentative="1">
      <w:start w:val="1"/>
      <w:numFmt w:val="bullet"/>
      <w:lvlText w:val=""/>
      <w:lvlJc w:val="left"/>
      <w:pPr>
        <w:ind w:left="8038" w:hanging="360"/>
      </w:pPr>
      <w:rPr>
        <w:rFonts w:ascii="Wingdings" w:hAnsi="Wingdings" w:hint="default"/>
      </w:rPr>
    </w:lvl>
  </w:abstractNum>
  <w:abstractNum w:abstractNumId="13" w15:restartNumberingAfterBreak="0">
    <w:nsid w:val="39652534"/>
    <w:multiLevelType w:val="hybridMultilevel"/>
    <w:tmpl w:val="EE2CBCEA"/>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4" w15:restartNumberingAfterBreak="0">
    <w:nsid w:val="3BD46C90"/>
    <w:multiLevelType w:val="hybridMultilevel"/>
    <w:tmpl w:val="27DEE2E0"/>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5" w15:restartNumberingAfterBreak="0">
    <w:nsid w:val="45FA4CEA"/>
    <w:multiLevelType w:val="hybridMultilevel"/>
    <w:tmpl w:val="72DCE7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7542B4F"/>
    <w:multiLevelType w:val="multilevel"/>
    <w:tmpl w:val="2DD80D24"/>
    <w:lvl w:ilvl="0">
      <w:start w:val="1"/>
      <w:numFmt w:val="decimal"/>
      <w:lvlText w:val="%1."/>
      <w:lvlJc w:val="left"/>
      <w:pPr>
        <w:ind w:left="786" w:hanging="360"/>
      </w:pPr>
      <w:rPr>
        <w:rFonts w:hint="default"/>
      </w:rPr>
    </w:lvl>
    <w:lvl w:ilvl="1">
      <w:start w:val="1"/>
      <w:numFmt w:val="decimal"/>
      <w:lvlText w:val="%1.%2."/>
      <w:lvlJc w:val="left"/>
      <w:pPr>
        <w:tabs>
          <w:tab w:val="num" w:pos="794"/>
        </w:tabs>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BFA7E4F"/>
    <w:multiLevelType w:val="hybridMultilevel"/>
    <w:tmpl w:val="5BE605A8"/>
    <w:lvl w:ilvl="0" w:tplc="04260001">
      <w:start w:val="1"/>
      <w:numFmt w:val="bullet"/>
      <w:lvlText w:val=""/>
      <w:lvlJc w:val="left"/>
      <w:pPr>
        <w:ind w:left="1800" w:hanging="360"/>
      </w:pPr>
      <w:rPr>
        <w:rFonts w:ascii="Symbol" w:hAnsi="Symbol"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18" w15:restartNumberingAfterBreak="0">
    <w:nsid w:val="5AE96BE9"/>
    <w:multiLevelType w:val="multilevel"/>
    <w:tmpl w:val="2DD80D24"/>
    <w:lvl w:ilvl="0">
      <w:start w:val="1"/>
      <w:numFmt w:val="decimal"/>
      <w:lvlText w:val="%1."/>
      <w:lvlJc w:val="left"/>
      <w:pPr>
        <w:ind w:left="786" w:hanging="360"/>
      </w:pPr>
      <w:rPr>
        <w:rFonts w:hint="default"/>
      </w:rPr>
    </w:lvl>
    <w:lvl w:ilvl="1">
      <w:start w:val="1"/>
      <w:numFmt w:val="decimal"/>
      <w:lvlText w:val="%1.%2."/>
      <w:lvlJc w:val="left"/>
      <w:pPr>
        <w:tabs>
          <w:tab w:val="num" w:pos="794"/>
        </w:tabs>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33A0060"/>
    <w:multiLevelType w:val="multilevel"/>
    <w:tmpl w:val="2DD80D24"/>
    <w:lvl w:ilvl="0">
      <w:start w:val="1"/>
      <w:numFmt w:val="decimal"/>
      <w:lvlText w:val="%1."/>
      <w:lvlJc w:val="left"/>
      <w:pPr>
        <w:ind w:left="786" w:hanging="360"/>
      </w:pPr>
      <w:rPr>
        <w:rFonts w:hint="default"/>
      </w:rPr>
    </w:lvl>
    <w:lvl w:ilvl="1">
      <w:start w:val="1"/>
      <w:numFmt w:val="decimal"/>
      <w:lvlText w:val="%1.%2."/>
      <w:lvlJc w:val="left"/>
      <w:pPr>
        <w:tabs>
          <w:tab w:val="num" w:pos="794"/>
        </w:tabs>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F4D3658"/>
    <w:multiLevelType w:val="hybridMultilevel"/>
    <w:tmpl w:val="8544F4F2"/>
    <w:lvl w:ilvl="0" w:tplc="CA5E172E">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1" w15:restartNumberingAfterBreak="0">
    <w:nsid w:val="71564B5A"/>
    <w:multiLevelType w:val="hybridMultilevel"/>
    <w:tmpl w:val="D08E70F8"/>
    <w:lvl w:ilvl="0" w:tplc="0426000F">
      <w:start w:val="1"/>
      <w:numFmt w:val="decimal"/>
      <w:lvlText w:val="%1."/>
      <w:lvlJc w:val="left"/>
      <w:pPr>
        <w:ind w:left="1512" w:hanging="360"/>
      </w:pPr>
    </w:lvl>
    <w:lvl w:ilvl="1" w:tplc="04260019" w:tentative="1">
      <w:start w:val="1"/>
      <w:numFmt w:val="lowerLetter"/>
      <w:lvlText w:val="%2."/>
      <w:lvlJc w:val="left"/>
      <w:pPr>
        <w:ind w:left="2232" w:hanging="360"/>
      </w:pPr>
    </w:lvl>
    <w:lvl w:ilvl="2" w:tplc="0426001B" w:tentative="1">
      <w:start w:val="1"/>
      <w:numFmt w:val="lowerRoman"/>
      <w:lvlText w:val="%3."/>
      <w:lvlJc w:val="right"/>
      <w:pPr>
        <w:ind w:left="2952" w:hanging="180"/>
      </w:pPr>
    </w:lvl>
    <w:lvl w:ilvl="3" w:tplc="0426000F" w:tentative="1">
      <w:start w:val="1"/>
      <w:numFmt w:val="decimal"/>
      <w:lvlText w:val="%4."/>
      <w:lvlJc w:val="left"/>
      <w:pPr>
        <w:ind w:left="3672" w:hanging="360"/>
      </w:pPr>
    </w:lvl>
    <w:lvl w:ilvl="4" w:tplc="04260019" w:tentative="1">
      <w:start w:val="1"/>
      <w:numFmt w:val="lowerLetter"/>
      <w:lvlText w:val="%5."/>
      <w:lvlJc w:val="left"/>
      <w:pPr>
        <w:ind w:left="4392" w:hanging="360"/>
      </w:pPr>
    </w:lvl>
    <w:lvl w:ilvl="5" w:tplc="0426001B" w:tentative="1">
      <w:start w:val="1"/>
      <w:numFmt w:val="lowerRoman"/>
      <w:lvlText w:val="%6."/>
      <w:lvlJc w:val="right"/>
      <w:pPr>
        <w:ind w:left="5112" w:hanging="180"/>
      </w:pPr>
    </w:lvl>
    <w:lvl w:ilvl="6" w:tplc="0426000F" w:tentative="1">
      <w:start w:val="1"/>
      <w:numFmt w:val="decimal"/>
      <w:lvlText w:val="%7."/>
      <w:lvlJc w:val="left"/>
      <w:pPr>
        <w:ind w:left="5832" w:hanging="360"/>
      </w:pPr>
    </w:lvl>
    <w:lvl w:ilvl="7" w:tplc="04260019" w:tentative="1">
      <w:start w:val="1"/>
      <w:numFmt w:val="lowerLetter"/>
      <w:lvlText w:val="%8."/>
      <w:lvlJc w:val="left"/>
      <w:pPr>
        <w:ind w:left="6552" w:hanging="360"/>
      </w:pPr>
    </w:lvl>
    <w:lvl w:ilvl="8" w:tplc="0426001B" w:tentative="1">
      <w:start w:val="1"/>
      <w:numFmt w:val="lowerRoman"/>
      <w:lvlText w:val="%9."/>
      <w:lvlJc w:val="right"/>
      <w:pPr>
        <w:ind w:left="7272" w:hanging="180"/>
      </w:pPr>
    </w:lvl>
  </w:abstractNum>
  <w:num w:numId="1">
    <w:abstractNumId w:val="3"/>
  </w:num>
  <w:num w:numId="2">
    <w:abstractNumId w:val="9"/>
  </w:num>
  <w:num w:numId="3">
    <w:abstractNumId w:val="7"/>
  </w:num>
  <w:num w:numId="4">
    <w:abstractNumId w:val="20"/>
  </w:num>
  <w:num w:numId="5">
    <w:abstractNumId w:val="17"/>
  </w:num>
  <w:num w:numId="6">
    <w:abstractNumId w:val="13"/>
  </w:num>
  <w:num w:numId="7">
    <w:abstractNumId w:val="4"/>
  </w:num>
  <w:num w:numId="8">
    <w:abstractNumId w:val="12"/>
  </w:num>
  <w:num w:numId="9">
    <w:abstractNumId w:val="14"/>
  </w:num>
  <w:num w:numId="10">
    <w:abstractNumId w:val="21"/>
  </w:num>
  <w:num w:numId="11">
    <w:abstractNumId w:val="15"/>
  </w:num>
  <w:num w:numId="12">
    <w:abstractNumId w:val="2"/>
  </w:num>
  <w:num w:numId="13">
    <w:abstractNumId w:val="16"/>
  </w:num>
  <w:num w:numId="14">
    <w:abstractNumId w:val="18"/>
  </w:num>
  <w:num w:numId="15">
    <w:abstractNumId w:val="11"/>
  </w:num>
  <w:num w:numId="16">
    <w:abstractNumId w:val="10"/>
  </w:num>
  <w:num w:numId="17">
    <w:abstractNumId w:val="19"/>
  </w:num>
  <w:num w:numId="18">
    <w:abstractNumId w:val="6"/>
  </w:num>
  <w:num w:numId="19">
    <w:abstractNumId w:val="8"/>
  </w:num>
  <w:num w:numId="20">
    <w:abstractNumId w:val="5"/>
  </w:num>
  <w:num w:numId="21">
    <w:abstractNumId w:val="0"/>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mirrorMargins/>
  <w:proofState w:spelling="clean" w:grammar="clean"/>
  <w:documentProtection w:edit="trackedChanges" w:enforcement="0"/>
  <w:defaultTabStop w:val="720"/>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6EB"/>
    <w:rsid w:val="0000417B"/>
    <w:rsid w:val="00014082"/>
    <w:rsid w:val="000246D8"/>
    <w:rsid w:val="0005620B"/>
    <w:rsid w:val="000C277C"/>
    <w:rsid w:val="000F6638"/>
    <w:rsid w:val="00113196"/>
    <w:rsid w:val="00114621"/>
    <w:rsid w:val="00153562"/>
    <w:rsid w:val="00156E08"/>
    <w:rsid w:val="00170975"/>
    <w:rsid w:val="001E2450"/>
    <w:rsid w:val="00226985"/>
    <w:rsid w:val="0025569D"/>
    <w:rsid w:val="00264420"/>
    <w:rsid w:val="00271504"/>
    <w:rsid w:val="002919B8"/>
    <w:rsid w:val="002D4189"/>
    <w:rsid w:val="002F0BC6"/>
    <w:rsid w:val="00365EDB"/>
    <w:rsid w:val="003A6664"/>
    <w:rsid w:val="003B7AD9"/>
    <w:rsid w:val="003D11B4"/>
    <w:rsid w:val="004268FF"/>
    <w:rsid w:val="004560E0"/>
    <w:rsid w:val="00477C05"/>
    <w:rsid w:val="00491861"/>
    <w:rsid w:val="004A278B"/>
    <w:rsid w:val="004B0564"/>
    <w:rsid w:val="004C0AF4"/>
    <w:rsid w:val="004C2812"/>
    <w:rsid w:val="004E6C0B"/>
    <w:rsid w:val="0050311C"/>
    <w:rsid w:val="005118EB"/>
    <w:rsid w:val="00537691"/>
    <w:rsid w:val="00551C4C"/>
    <w:rsid w:val="0056367A"/>
    <w:rsid w:val="00572C2F"/>
    <w:rsid w:val="005D4209"/>
    <w:rsid w:val="005F7816"/>
    <w:rsid w:val="00646730"/>
    <w:rsid w:val="006571F9"/>
    <w:rsid w:val="0066299F"/>
    <w:rsid w:val="00667881"/>
    <w:rsid w:val="0067198C"/>
    <w:rsid w:val="006A1683"/>
    <w:rsid w:val="006E1856"/>
    <w:rsid w:val="0079664E"/>
    <w:rsid w:val="007C01E9"/>
    <w:rsid w:val="007C5164"/>
    <w:rsid w:val="007F1DAD"/>
    <w:rsid w:val="0084105C"/>
    <w:rsid w:val="00856390"/>
    <w:rsid w:val="0087497A"/>
    <w:rsid w:val="008800AE"/>
    <w:rsid w:val="008812D1"/>
    <w:rsid w:val="008B59C9"/>
    <w:rsid w:val="008C6027"/>
    <w:rsid w:val="008C69A3"/>
    <w:rsid w:val="008E017C"/>
    <w:rsid w:val="008F6D0D"/>
    <w:rsid w:val="00900042"/>
    <w:rsid w:val="00931B40"/>
    <w:rsid w:val="00934758"/>
    <w:rsid w:val="00977A60"/>
    <w:rsid w:val="00990D6F"/>
    <w:rsid w:val="009C4F39"/>
    <w:rsid w:val="009C5524"/>
    <w:rsid w:val="009E0872"/>
    <w:rsid w:val="009E1A8B"/>
    <w:rsid w:val="00A767E7"/>
    <w:rsid w:val="00AA0B53"/>
    <w:rsid w:val="00AB7F1C"/>
    <w:rsid w:val="00AC7B99"/>
    <w:rsid w:val="00AD1151"/>
    <w:rsid w:val="00AE3DE9"/>
    <w:rsid w:val="00B2076F"/>
    <w:rsid w:val="00B303C9"/>
    <w:rsid w:val="00B34FE0"/>
    <w:rsid w:val="00B40678"/>
    <w:rsid w:val="00B55452"/>
    <w:rsid w:val="00B860DA"/>
    <w:rsid w:val="00BC1C92"/>
    <w:rsid w:val="00BE1A9C"/>
    <w:rsid w:val="00BF354E"/>
    <w:rsid w:val="00C6558F"/>
    <w:rsid w:val="00CD217C"/>
    <w:rsid w:val="00D52C13"/>
    <w:rsid w:val="00D65584"/>
    <w:rsid w:val="00DB4055"/>
    <w:rsid w:val="00DC2CC2"/>
    <w:rsid w:val="00E226EB"/>
    <w:rsid w:val="00E63FA1"/>
    <w:rsid w:val="00EA4937"/>
    <w:rsid w:val="00ED70E4"/>
    <w:rsid w:val="00EE121E"/>
    <w:rsid w:val="00EF5C4E"/>
    <w:rsid w:val="00F42732"/>
    <w:rsid w:val="00FB1507"/>
    <w:rsid w:val="00FE2E8A"/>
    <w:rsid w:val="00FF281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17FFFD0F"/>
  <w15:chartTrackingRefBased/>
  <w15:docId w15:val="{8CE3558A-028E-4554-9209-82AC277D8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1,Footnote Text Char Char,Footnote Text Char1 Char Char,Footnote Text Char Char Char Char,Footnote Text Char2 Char Char Char Char,Footnote Text Char1 Char Char Char Char Char,Footnote Text Char2,Footnot"/>
    <w:basedOn w:val="Normal"/>
    <w:link w:val="FootnoteTextChar"/>
    <w:uiPriority w:val="99"/>
    <w:unhideWhenUsed/>
    <w:rsid w:val="00E226EB"/>
    <w:pPr>
      <w:spacing w:after="0" w:line="240" w:lineRule="auto"/>
    </w:pPr>
    <w:rPr>
      <w:rFonts w:ascii="Times New Roman" w:eastAsia="Calibri" w:hAnsi="Times New Roman" w:cs="Times New Roman"/>
      <w:sz w:val="20"/>
      <w:szCs w:val="20"/>
      <w:lang w:val="x-none" w:eastAsia="x-none"/>
    </w:rPr>
  </w:style>
  <w:style w:type="character" w:customStyle="1" w:styleId="FootnoteTextChar">
    <w:name w:val="Footnote Text Char"/>
    <w:aliases w:val="Footnote Text Char1 Char,Footnote Text Char Char Char,Footnote Text Char1 Char Char Char,Footnote Text Char Char Char Char Char,Footnote Text Char2 Char Char Char Char Char,Footnote Text Char1 Char Char Char Char Char Char"/>
    <w:basedOn w:val="DefaultParagraphFont"/>
    <w:link w:val="FootnoteText"/>
    <w:uiPriority w:val="99"/>
    <w:rsid w:val="00E226EB"/>
    <w:rPr>
      <w:rFonts w:ascii="Times New Roman" w:eastAsia="Calibri" w:hAnsi="Times New Roman" w:cs="Times New Roman"/>
      <w:sz w:val="20"/>
      <w:szCs w:val="20"/>
      <w:lang w:val="x-none" w:eastAsia="x-none"/>
    </w:rPr>
  </w:style>
  <w:style w:type="character" w:styleId="FootnoteReference">
    <w:name w:val="footnote reference"/>
    <w:aliases w:val="Footnote Reference Number,Footnote symbol"/>
    <w:uiPriority w:val="99"/>
    <w:unhideWhenUsed/>
    <w:rsid w:val="00E226EB"/>
    <w:rPr>
      <w:vertAlign w:val="superscript"/>
    </w:rPr>
  </w:style>
  <w:style w:type="character" w:styleId="Hyperlink">
    <w:name w:val="Hyperlink"/>
    <w:uiPriority w:val="99"/>
    <w:unhideWhenUsed/>
    <w:rsid w:val="00E226EB"/>
    <w:rPr>
      <w:color w:val="0000FF"/>
      <w:u w:val="single"/>
    </w:rPr>
  </w:style>
  <w:style w:type="paragraph" w:styleId="Header">
    <w:name w:val="header"/>
    <w:basedOn w:val="Normal"/>
    <w:link w:val="HeaderChar"/>
    <w:uiPriority w:val="99"/>
    <w:unhideWhenUsed/>
    <w:rsid w:val="00E226EB"/>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26EB"/>
  </w:style>
  <w:style w:type="paragraph" w:styleId="Footer">
    <w:name w:val="footer"/>
    <w:basedOn w:val="Normal"/>
    <w:link w:val="FooterChar"/>
    <w:uiPriority w:val="99"/>
    <w:unhideWhenUsed/>
    <w:rsid w:val="00E226EB"/>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26EB"/>
  </w:style>
  <w:style w:type="paragraph" w:styleId="BalloonText">
    <w:name w:val="Balloon Text"/>
    <w:basedOn w:val="Normal"/>
    <w:link w:val="BalloonTextChar"/>
    <w:uiPriority w:val="99"/>
    <w:semiHidden/>
    <w:unhideWhenUsed/>
    <w:rsid w:val="005376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7691"/>
    <w:rPr>
      <w:rFonts w:ascii="Segoe UI" w:hAnsi="Segoe UI" w:cs="Segoe UI"/>
      <w:sz w:val="18"/>
      <w:szCs w:val="18"/>
    </w:rPr>
  </w:style>
  <w:style w:type="character" w:styleId="CommentReference">
    <w:name w:val="annotation reference"/>
    <w:basedOn w:val="DefaultParagraphFont"/>
    <w:uiPriority w:val="99"/>
    <w:semiHidden/>
    <w:unhideWhenUsed/>
    <w:rsid w:val="002F0BC6"/>
    <w:rPr>
      <w:sz w:val="16"/>
      <w:szCs w:val="16"/>
    </w:rPr>
  </w:style>
  <w:style w:type="paragraph" w:styleId="CommentText">
    <w:name w:val="annotation text"/>
    <w:basedOn w:val="Normal"/>
    <w:link w:val="CommentTextChar"/>
    <w:uiPriority w:val="99"/>
    <w:semiHidden/>
    <w:unhideWhenUsed/>
    <w:rsid w:val="002F0BC6"/>
    <w:pPr>
      <w:spacing w:line="240" w:lineRule="auto"/>
    </w:pPr>
    <w:rPr>
      <w:sz w:val="20"/>
      <w:szCs w:val="20"/>
    </w:rPr>
  </w:style>
  <w:style w:type="character" w:customStyle="1" w:styleId="CommentTextChar">
    <w:name w:val="Comment Text Char"/>
    <w:basedOn w:val="DefaultParagraphFont"/>
    <w:link w:val="CommentText"/>
    <w:uiPriority w:val="99"/>
    <w:semiHidden/>
    <w:rsid w:val="002F0BC6"/>
    <w:rPr>
      <w:sz w:val="20"/>
      <w:szCs w:val="20"/>
    </w:rPr>
  </w:style>
  <w:style w:type="paragraph" w:styleId="CommentSubject">
    <w:name w:val="annotation subject"/>
    <w:basedOn w:val="CommentText"/>
    <w:next w:val="CommentText"/>
    <w:link w:val="CommentSubjectChar"/>
    <w:uiPriority w:val="99"/>
    <w:semiHidden/>
    <w:unhideWhenUsed/>
    <w:rsid w:val="002F0BC6"/>
    <w:rPr>
      <w:b/>
      <w:bCs/>
    </w:rPr>
  </w:style>
  <w:style w:type="character" w:customStyle="1" w:styleId="CommentSubjectChar">
    <w:name w:val="Comment Subject Char"/>
    <w:basedOn w:val="CommentTextChar"/>
    <w:link w:val="CommentSubject"/>
    <w:uiPriority w:val="99"/>
    <w:semiHidden/>
    <w:rsid w:val="002F0BC6"/>
    <w:rPr>
      <w:b/>
      <w:bCs/>
      <w:sz w:val="20"/>
      <w:szCs w:val="20"/>
    </w:rPr>
  </w:style>
  <w:style w:type="paragraph" w:styleId="ListParagraph">
    <w:name w:val="List Paragraph"/>
    <w:basedOn w:val="Normal"/>
    <w:uiPriority w:val="34"/>
    <w:qFormat/>
    <w:rsid w:val="002644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109906">
      <w:bodyDiv w:val="1"/>
      <w:marLeft w:val="0"/>
      <w:marRight w:val="0"/>
      <w:marTop w:val="0"/>
      <w:marBottom w:val="0"/>
      <w:divBdr>
        <w:top w:val="none" w:sz="0" w:space="0" w:color="auto"/>
        <w:left w:val="none" w:sz="0" w:space="0" w:color="auto"/>
        <w:bottom w:val="none" w:sz="0" w:space="0" w:color="auto"/>
        <w:right w:val="none" w:sz="0" w:space="0" w:color="auto"/>
      </w:divBdr>
    </w:div>
    <w:div w:id="332028167">
      <w:bodyDiv w:val="1"/>
      <w:marLeft w:val="0"/>
      <w:marRight w:val="0"/>
      <w:marTop w:val="0"/>
      <w:marBottom w:val="0"/>
      <w:divBdr>
        <w:top w:val="none" w:sz="0" w:space="0" w:color="auto"/>
        <w:left w:val="none" w:sz="0" w:space="0" w:color="auto"/>
        <w:bottom w:val="none" w:sz="0" w:space="0" w:color="auto"/>
        <w:right w:val="none" w:sz="0" w:space="0" w:color="auto"/>
      </w:divBdr>
    </w:div>
    <w:div w:id="569115408">
      <w:bodyDiv w:val="1"/>
      <w:marLeft w:val="0"/>
      <w:marRight w:val="0"/>
      <w:marTop w:val="0"/>
      <w:marBottom w:val="0"/>
      <w:divBdr>
        <w:top w:val="none" w:sz="0" w:space="0" w:color="auto"/>
        <w:left w:val="none" w:sz="0" w:space="0" w:color="auto"/>
        <w:bottom w:val="none" w:sz="0" w:space="0" w:color="auto"/>
        <w:right w:val="none" w:sz="0" w:space="0" w:color="auto"/>
      </w:divBdr>
    </w:div>
    <w:div w:id="1087925908">
      <w:bodyDiv w:val="1"/>
      <w:marLeft w:val="0"/>
      <w:marRight w:val="0"/>
      <w:marTop w:val="0"/>
      <w:marBottom w:val="0"/>
      <w:divBdr>
        <w:top w:val="none" w:sz="0" w:space="0" w:color="auto"/>
        <w:left w:val="none" w:sz="0" w:space="0" w:color="auto"/>
        <w:bottom w:val="none" w:sz="0" w:space="0" w:color="auto"/>
        <w:right w:val="none" w:sz="0" w:space="0" w:color="auto"/>
      </w:divBdr>
    </w:div>
    <w:div w:id="1478456467">
      <w:bodyDiv w:val="1"/>
      <w:marLeft w:val="0"/>
      <w:marRight w:val="0"/>
      <w:marTop w:val="0"/>
      <w:marBottom w:val="0"/>
      <w:divBdr>
        <w:top w:val="none" w:sz="0" w:space="0" w:color="auto"/>
        <w:left w:val="none" w:sz="0" w:space="0" w:color="auto"/>
        <w:bottom w:val="none" w:sz="0" w:space="0" w:color="auto"/>
        <w:right w:val="none" w:sz="0" w:space="0" w:color="auto"/>
      </w:divBdr>
    </w:div>
    <w:div w:id="2025815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B835BA-3008-48A6-8B7E-167E43370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548</TotalTime>
  <Pages>3</Pages>
  <Words>4792</Words>
  <Characters>2732</Characters>
  <Application>Microsoft Office Word</Application>
  <DocSecurity>0</DocSecurity>
  <Lines>22</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Sanita Auniņa</dc:creator>
  <cp:keywords/>
  <dc:description/>
  <cp:lastModifiedBy>Aļesja Boriseviča</cp:lastModifiedBy>
  <cp:revision>65</cp:revision>
  <cp:lastPrinted>2015-10-19T10:52:00Z</cp:lastPrinted>
  <dcterms:created xsi:type="dcterms:W3CDTF">2015-09-23T06:07:00Z</dcterms:created>
  <dcterms:modified xsi:type="dcterms:W3CDTF">2017-08-22T08:57:00Z</dcterms:modified>
</cp:coreProperties>
</file>