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DFC" w:rsidRPr="0032789F" w:rsidRDefault="00BD3C53" w:rsidP="00570DFC">
      <w:pPr>
        <w:pStyle w:val="NormalWeb"/>
        <w:jc w:val="right"/>
      </w:pPr>
      <w:r>
        <w:t>4</w:t>
      </w:r>
      <w:r w:rsidR="00D57A4F" w:rsidRPr="0032789F">
        <w:t>.pielikums</w:t>
      </w:r>
    </w:p>
    <w:p w:rsidR="00D57A4F" w:rsidRPr="007B0584" w:rsidRDefault="007B0584" w:rsidP="007B0584">
      <w:pPr>
        <w:pStyle w:val="NormalWeb"/>
        <w:jc w:val="center"/>
        <w:rPr>
          <w:b/>
        </w:rPr>
      </w:pPr>
      <w:r w:rsidRPr="007B0584">
        <w:rPr>
          <w:b/>
        </w:rPr>
        <w:t>Vadības un kontroles sistēmu funkcijas pamatelement</w:t>
      </w:r>
      <w:r>
        <w:rPr>
          <w:b/>
        </w:rPr>
        <w:t>i</w:t>
      </w:r>
      <w:r w:rsidRPr="007B0584">
        <w:rPr>
          <w:b/>
        </w:rPr>
        <w:t xml:space="preserve"> un </w:t>
      </w:r>
      <w:proofErr w:type="spellStart"/>
      <w:r w:rsidRPr="007B0584">
        <w:rPr>
          <w:b/>
        </w:rPr>
        <w:t>palīgelement</w:t>
      </w:r>
      <w:r>
        <w:rPr>
          <w:b/>
        </w:rPr>
        <w:t>i</w:t>
      </w:r>
      <w:proofErr w:type="spellEnd"/>
      <w:r w:rsidRPr="007B0584">
        <w:rPr>
          <w:b/>
        </w:rPr>
        <w:t>, lai noteiktu trūkumu apmērus un būtiskumu</w:t>
      </w:r>
    </w:p>
    <w:p w:rsidR="00D53CBE" w:rsidRDefault="00D53CBE" w:rsidP="00D53CBE">
      <w:pPr>
        <w:pStyle w:val="NormalWeb"/>
        <w:jc w:val="both"/>
      </w:pPr>
    </w:p>
    <w:p w:rsidR="00D53CBE" w:rsidRPr="00D53CBE" w:rsidRDefault="00D53CBE" w:rsidP="005E5832">
      <w:pPr>
        <w:pStyle w:val="NormalWeb"/>
        <w:spacing w:after="0"/>
        <w:ind w:firstLine="426"/>
        <w:jc w:val="both"/>
      </w:pPr>
      <w:r w:rsidRPr="00D53CBE">
        <w:t>Saskaņā ar Deleģētās Regulas (ES) Nr.480/2014 30.panta 2.punktu galvenie nopietno trūkumu veidi, kuri pastāv pārvaldības un kontroles sistēmas efektīvā darbībā, ir tie gadījumi, kad tiek novērtēts, ka jebkura no galvenajām prasībām, kas minētas šīs De</w:t>
      </w:r>
      <w:r w:rsidR="008C794C">
        <w:t>leģētās Regulas IV pielikuma 1.</w:t>
      </w:r>
      <w:r w:rsidRPr="00D53CBE">
        <w:t>tabulas 2</w:t>
      </w:r>
      <w:r w:rsidR="008C794C">
        <w:t>., 4., 5., 13., 15., 16. un 18.</w:t>
      </w:r>
      <w:r w:rsidRPr="00D53CBE">
        <w:t>punktā, vai divas vai vairākas no pārējām galvenajām prasībām, kas minētas šīs De</w:t>
      </w:r>
      <w:r w:rsidR="008C794C">
        <w:t>leģētās Regulas IV pielikuma 1.</w:t>
      </w:r>
      <w:r w:rsidRPr="00D53CBE">
        <w:t>tabulā, ietilpst šīs De</w:t>
      </w:r>
      <w:r w:rsidR="008C794C">
        <w:t>leģētās Regulas IV pielikuma 2.</w:t>
      </w:r>
      <w:r w:rsidRPr="00D53CBE">
        <w:t>tabulā noteiktajā 3. vai 4. kategorijā.</w:t>
      </w:r>
    </w:p>
    <w:p w:rsidR="00D53CBE" w:rsidRPr="00D53CBE" w:rsidRDefault="00D53CBE" w:rsidP="005E5832">
      <w:pPr>
        <w:pStyle w:val="NormalWeb"/>
        <w:spacing w:before="0" w:after="0"/>
        <w:ind w:firstLine="425"/>
        <w:jc w:val="both"/>
      </w:pPr>
    </w:p>
    <w:p w:rsidR="007B0584" w:rsidRDefault="008C794C" w:rsidP="005E5832">
      <w:pPr>
        <w:pStyle w:val="NormalWeb"/>
        <w:spacing w:before="0"/>
        <w:ind w:firstLine="426"/>
        <w:jc w:val="both"/>
      </w:pPr>
      <w:r>
        <w:t>Deleģētās Regulas (ES) Nr.</w:t>
      </w:r>
      <w:r w:rsidR="00D53CBE" w:rsidRPr="00D53CBE">
        <w:t xml:space="preserve">480/2014 31.pantā pieejami kritēriji vienoto likmju vai </w:t>
      </w:r>
      <w:proofErr w:type="spellStart"/>
      <w:r w:rsidR="00D53CBE" w:rsidRPr="00D53CBE">
        <w:t>ekstrapolēto</w:t>
      </w:r>
      <w:proofErr w:type="spellEnd"/>
      <w:r w:rsidR="00D53CBE" w:rsidRPr="00D53CBE">
        <w:t xml:space="preserve"> finanšu korekciju piemērošanai un kritēriji finanšu korekcijas līmeņa noteikšanai.</w:t>
      </w:r>
    </w:p>
    <w:p w:rsidR="00D53CBE" w:rsidRPr="00D53CBE" w:rsidRDefault="00D53CBE" w:rsidP="005E5832">
      <w:pPr>
        <w:pStyle w:val="NormalWeb"/>
        <w:spacing w:before="0" w:after="0"/>
        <w:ind w:left="567"/>
        <w:jc w:val="both"/>
      </w:pPr>
    </w:p>
    <w:p w:rsidR="00874C90" w:rsidRPr="003943AA" w:rsidRDefault="00874C90" w:rsidP="005E5832">
      <w:pPr>
        <w:ind w:firstLine="426"/>
        <w:jc w:val="both"/>
        <w:rPr>
          <w:szCs w:val="24"/>
        </w:rPr>
      </w:pPr>
      <w:r w:rsidRPr="003943AA">
        <w:rPr>
          <w:b/>
          <w:szCs w:val="24"/>
        </w:rPr>
        <w:t>Pamatelementi</w:t>
      </w:r>
      <w:r w:rsidRPr="003943AA">
        <w:rPr>
          <w:szCs w:val="24"/>
        </w:rPr>
        <w:t>, kas nodrošina līdzfinansējuma pamatotību</w:t>
      </w:r>
      <w:r w:rsidR="008C794C">
        <w:rPr>
          <w:szCs w:val="24"/>
        </w:rPr>
        <w:t>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3"/>
        </w:numPr>
        <w:jc w:val="both"/>
        <w:rPr>
          <w:szCs w:val="24"/>
        </w:rPr>
      </w:pPr>
      <w:r w:rsidRPr="001F3343">
        <w:rPr>
          <w:szCs w:val="24"/>
        </w:rPr>
        <w:t>Procedūru izstrādāšana un piemērošana sakarā ar projektu iesniegumiem, projektu iesniegumu izvērtēšanu, finansējamo projektu atlasi un līgumu izpildītāju izraudzīšanos</w:t>
      </w:r>
      <w:r w:rsidR="007B0584" w:rsidRPr="001F3343">
        <w:rPr>
          <w:szCs w:val="24"/>
        </w:rPr>
        <w:t>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1F3343">
        <w:rPr>
          <w:szCs w:val="24"/>
        </w:rPr>
        <w:t xml:space="preserve">projekta iesniegumu izvērtēšana saskaņā ar programmas kritērijiem un procedūrām, ieskaitot atbilstību noteikumiem par vides ietekmes novērtēšanu un tiesību aktiem un politiskajām nostādnēm par </w:t>
      </w:r>
      <w:r w:rsidR="00517C4B" w:rsidRPr="001F3343">
        <w:rPr>
          <w:szCs w:val="24"/>
        </w:rPr>
        <w:t>vienlīdzīgām iespējām</w:t>
      </w:r>
      <w:r w:rsidRPr="001F3343">
        <w:rPr>
          <w:szCs w:val="24"/>
        </w:rPr>
        <w:t>;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1F3343">
        <w:rPr>
          <w:szCs w:val="24"/>
        </w:rPr>
        <w:t>finansējamo projektu atlase: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1"/>
        </w:numPr>
        <w:ind w:left="1080"/>
        <w:jc w:val="both"/>
        <w:rPr>
          <w:szCs w:val="24"/>
        </w:rPr>
      </w:pPr>
      <w:r w:rsidRPr="001F3343">
        <w:rPr>
          <w:szCs w:val="24"/>
        </w:rPr>
        <w:t>izraudzītie projekti atbilst programmas mērķiem un publicētajiem kritērijiem,</w:t>
      </w:r>
    </w:p>
    <w:p w:rsidR="00874C90" w:rsidRPr="001F3343" w:rsidRDefault="00874C90" w:rsidP="00874C90">
      <w:pPr>
        <w:ind w:left="360"/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1"/>
        </w:numPr>
        <w:ind w:left="1080"/>
        <w:jc w:val="both"/>
        <w:rPr>
          <w:szCs w:val="24"/>
        </w:rPr>
      </w:pPr>
      <w:r w:rsidRPr="001F3343">
        <w:rPr>
          <w:szCs w:val="24"/>
        </w:rPr>
        <w:t>skaidrs iesniegumu pieņemšanas vai noraidīšanas pamatojums,</w:t>
      </w:r>
    </w:p>
    <w:p w:rsidR="00874C90" w:rsidRPr="001F3343" w:rsidRDefault="00874C90" w:rsidP="00874C90">
      <w:pPr>
        <w:ind w:left="360"/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1"/>
        </w:numPr>
        <w:ind w:left="1080"/>
        <w:jc w:val="both"/>
        <w:rPr>
          <w:szCs w:val="24"/>
        </w:rPr>
      </w:pPr>
      <w:r w:rsidRPr="001F3343">
        <w:rPr>
          <w:szCs w:val="24"/>
        </w:rPr>
        <w:t xml:space="preserve">atbilstība </w:t>
      </w:r>
      <w:r w:rsidR="004D22AA" w:rsidRPr="001F3343">
        <w:rPr>
          <w:szCs w:val="24"/>
        </w:rPr>
        <w:t xml:space="preserve">komercdarbības </w:t>
      </w:r>
      <w:r w:rsidRPr="001F3343">
        <w:rPr>
          <w:szCs w:val="24"/>
        </w:rPr>
        <w:t>atbalsta noteikumiem,</w:t>
      </w:r>
    </w:p>
    <w:p w:rsidR="00874C90" w:rsidRPr="001F3343" w:rsidRDefault="00874C90" w:rsidP="00874C90">
      <w:pPr>
        <w:ind w:left="360"/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1"/>
        </w:numPr>
        <w:ind w:left="1080"/>
        <w:jc w:val="both"/>
        <w:rPr>
          <w:szCs w:val="24"/>
        </w:rPr>
      </w:pPr>
      <w:r w:rsidRPr="001F3343">
        <w:rPr>
          <w:szCs w:val="24"/>
        </w:rPr>
        <w:t xml:space="preserve">atbilstība noteikumiem par </w:t>
      </w:r>
      <w:r w:rsidR="008C4438" w:rsidRPr="001F3343">
        <w:rPr>
          <w:szCs w:val="24"/>
        </w:rPr>
        <w:t>att</w:t>
      </w:r>
      <w:r w:rsidR="008C4438">
        <w:rPr>
          <w:szCs w:val="24"/>
        </w:rPr>
        <w:t>iecināmajiem</w:t>
      </w:r>
      <w:r w:rsidR="008C4438" w:rsidRPr="001F3343">
        <w:rPr>
          <w:szCs w:val="24"/>
        </w:rPr>
        <w:t xml:space="preserve"> </w:t>
      </w:r>
      <w:r w:rsidRPr="001F3343">
        <w:rPr>
          <w:szCs w:val="24"/>
        </w:rPr>
        <w:t>izdevumiem,</w:t>
      </w:r>
    </w:p>
    <w:p w:rsidR="00874C90" w:rsidRPr="001F3343" w:rsidRDefault="00874C90" w:rsidP="00874C90">
      <w:pPr>
        <w:ind w:left="360"/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1"/>
        </w:numPr>
        <w:ind w:left="1080"/>
        <w:jc w:val="both"/>
        <w:rPr>
          <w:szCs w:val="24"/>
        </w:rPr>
      </w:pPr>
      <w:r w:rsidRPr="001F3343">
        <w:rPr>
          <w:szCs w:val="24"/>
        </w:rPr>
        <w:t xml:space="preserve">finansēšanas noteikumu un nosacījumu iekļaušana lēmumā par </w:t>
      </w:r>
      <w:r w:rsidR="008C4438">
        <w:rPr>
          <w:szCs w:val="24"/>
        </w:rPr>
        <w:t xml:space="preserve">projekta iesnieguma </w:t>
      </w:r>
      <w:r w:rsidR="008C4438" w:rsidRPr="001F3343">
        <w:rPr>
          <w:szCs w:val="24"/>
        </w:rPr>
        <w:t>apstiprinā</w:t>
      </w:r>
      <w:r w:rsidR="008C4438">
        <w:rPr>
          <w:szCs w:val="24"/>
        </w:rPr>
        <w:t>šan</w:t>
      </w:r>
      <w:r w:rsidR="008C4438" w:rsidRPr="001F3343">
        <w:rPr>
          <w:szCs w:val="24"/>
        </w:rPr>
        <w:t>u</w:t>
      </w:r>
      <w:r w:rsidRPr="001F3343">
        <w:rPr>
          <w:szCs w:val="24"/>
        </w:rPr>
        <w:t>.</w:t>
      </w:r>
    </w:p>
    <w:p w:rsidR="00874C90" w:rsidRPr="001F3343" w:rsidRDefault="00874C90" w:rsidP="00874C90">
      <w:pPr>
        <w:jc w:val="both"/>
        <w:rPr>
          <w:szCs w:val="24"/>
        </w:rPr>
      </w:pPr>
    </w:p>
    <w:p w:rsidR="00964F02" w:rsidRPr="001F3343" w:rsidRDefault="00964F02" w:rsidP="00964F02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1F3343">
        <w:rPr>
          <w:szCs w:val="24"/>
        </w:rPr>
        <w:t xml:space="preserve">Atbilstīgs paziņojums par iepirkuma </w:t>
      </w:r>
      <w:r w:rsidR="008C4438">
        <w:rPr>
          <w:szCs w:val="24"/>
        </w:rPr>
        <w:t>procedūras</w:t>
      </w:r>
      <w:r w:rsidR="008C4438" w:rsidRPr="001F3343">
        <w:rPr>
          <w:szCs w:val="24"/>
        </w:rPr>
        <w:t xml:space="preserve"> </w:t>
      </w:r>
      <w:r w:rsidRPr="001F3343">
        <w:rPr>
          <w:szCs w:val="24"/>
        </w:rPr>
        <w:t xml:space="preserve">uzsākšanu saskaņā ar tiesību aktiem </w:t>
      </w:r>
      <w:r w:rsidR="008C4438" w:rsidRPr="001F3343">
        <w:rPr>
          <w:szCs w:val="24"/>
        </w:rPr>
        <w:t>publisk</w:t>
      </w:r>
      <w:r w:rsidR="008C4438">
        <w:rPr>
          <w:szCs w:val="24"/>
        </w:rPr>
        <w:t>o</w:t>
      </w:r>
      <w:r w:rsidR="008C4438" w:rsidRPr="001F3343">
        <w:rPr>
          <w:szCs w:val="24"/>
        </w:rPr>
        <w:t xml:space="preserve"> </w:t>
      </w:r>
      <w:r w:rsidRPr="001F3343">
        <w:rPr>
          <w:szCs w:val="24"/>
        </w:rPr>
        <w:t>iepirkum</w:t>
      </w:r>
      <w:r w:rsidR="008C4438">
        <w:rPr>
          <w:szCs w:val="24"/>
        </w:rPr>
        <w:t>u</w:t>
      </w:r>
      <w:r w:rsidRPr="001F3343">
        <w:rPr>
          <w:szCs w:val="24"/>
        </w:rPr>
        <w:t xml:space="preserve"> jomā:</w:t>
      </w:r>
    </w:p>
    <w:p w:rsidR="00964F02" w:rsidRPr="001F3343" w:rsidRDefault="00964F02" w:rsidP="00964F02">
      <w:pPr>
        <w:jc w:val="both"/>
        <w:rPr>
          <w:szCs w:val="24"/>
        </w:rPr>
      </w:pPr>
    </w:p>
    <w:p w:rsidR="00964F02" w:rsidRPr="001F3343" w:rsidRDefault="00964F02" w:rsidP="0056522A">
      <w:pPr>
        <w:pStyle w:val="ListParagraph"/>
        <w:numPr>
          <w:ilvl w:val="0"/>
          <w:numId w:val="1"/>
        </w:numPr>
        <w:ind w:left="1080"/>
        <w:jc w:val="both"/>
        <w:rPr>
          <w:szCs w:val="24"/>
        </w:rPr>
      </w:pPr>
      <w:r w:rsidRPr="001F3343">
        <w:rPr>
          <w:szCs w:val="24"/>
        </w:rPr>
        <w:t>atbilstība publi</w:t>
      </w:r>
      <w:r w:rsidR="008C4438">
        <w:rPr>
          <w:szCs w:val="24"/>
        </w:rPr>
        <w:t>citātes</w:t>
      </w:r>
      <w:r w:rsidRPr="001F3343">
        <w:rPr>
          <w:szCs w:val="24"/>
        </w:rPr>
        <w:t xml:space="preserve">, </w:t>
      </w:r>
      <w:r w:rsidR="00517C4B" w:rsidRPr="001F3343">
        <w:rPr>
          <w:szCs w:val="24"/>
        </w:rPr>
        <w:t>vienlīdzīgu iespēju</w:t>
      </w:r>
      <w:r w:rsidRPr="001F3343">
        <w:rPr>
          <w:szCs w:val="24"/>
        </w:rPr>
        <w:t xml:space="preserve"> un publiskā iepirkuma noteikumiem, kā arī, ja nav piemērojamas EK direktīvas par publiskajiem iepirkumiem – atbilstība Līgumā ietvertajiem caurskatāmības, vienlīdzīgas attieksmes un </w:t>
      </w:r>
      <w:proofErr w:type="spellStart"/>
      <w:r w:rsidRPr="001F3343">
        <w:rPr>
          <w:szCs w:val="24"/>
        </w:rPr>
        <w:t>nediskriminācijas</w:t>
      </w:r>
      <w:proofErr w:type="spellEnd"/>
      <w:r w:rsidRPr="001F3343">
        <w:rPr>
          <w:szCs w:val="24"/>
        </w:rPr>
        <w:t xml:space="preserve"> noteikumiem un principiem</w:t>
      </w:r>
      <w:r w:rsidR="0056522A">
        <w:rPr>
          <w:szCs w:val="24"/>
        </w:rPr>
        <w:t xml:space="preserve">, kā arī </w:t>
      </w:r>
      <w:r w:rsidR="0056522A" w:rsidRPr="0056522A">
        <w:rPr>
          <w:szCs w:val="24"/>
        </w:rPr>
        <w:t>atbilstīb</w:t>
      </w:r>
      <w:r w:rsidR="0056522A">
        <w:rPr>
          <w:szCs w:val="24"/>
        </w:rPr>
        <w:t>a</w:t>
      </w:r>
      <w:r w:rsidR="0056522A" w:rsidRPr="0056522A">
        <w:rPr>
          <w:szCs w:val="24"/>
        </w:rPr>
        <w:t xml:space="preserve">  nacionālajiem  normatīvajiem aktiem</w:t>
      </w:r>
      <w:r w:rsidRPr="001F3343">
        <w:rPr>
          <w:szCs w:val="24"/>
        </w:rPr>
        <w:t>;</w:t>
      </w:r>
    </w:p>
    <w:p w:rsidR="00964F02" w:rsidRPr="001F3343" w:rsidRDefault="00964F02" w:rsidP="00964F02">
      <w:pPr>
        <w:pStyle w:val="ListParagraph"/>
        <w:ind w:left="1080"/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1F3343">
        <w:rPr>
          <w:szCs w:val="24"/>
        </w:rPr>
        <w:t>piegādātāju un līgumdarbu veicēju izraudzīšanās saskaņā ar publiskā iepirkuma nosacījumiem.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3"/>
        </w:numPr>
        <w:jc w:val="both"/>
        <w:rPr>
          <w:szCs w:val="24"/>
        </w:rPr>
      </w:pPr>
      <w:r w:rsidRPr="001F3343">
        <w:rPr>
          <w:szCs w:val="24"/>
        </w:rPr>
        <w:t xml:space="preserve"> Līdzfinansēto preču piegādes un pakalpojumu sniegšanas, kā arī no programmas finansēto izdevumu atbilstības pienācīga pārbaude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5"/>
        </w:numPr>
        <w:jc w:val="both"/>
        <w:rPr>
          <w:szCs w:val="24"/>
        </w:rPr>
      </w:pPr>
      <w:r w:rsidRPr="001F3343">
        <w:rPr>
          <w:szCs w:val="24"/>
        </w:rPr>
        <w:t>veic vadošā</w:t>
      </w:r>
      <w:r w:rsidR="00964F02" w:rsidRPr="001F3343">
        <w:rPr>
          <w:szCs w:val="24"/>
        </w:rPr>
        <w:t xml:space="preserve"> iestāde vai</w:t>
      </w:r>
      <w:r w:rsidR="00C003FC">
        <w:rPr>
          <w:szCs w:val="24"/>
        </w:rPr>
        <w:t xml:space="preserve"> sadarbības iestāde</w:t>
      </w:r>
      <w:r w:rsidRPr="001F3343">
        <w:rPr>
          <w:szCs w:val="24"/>
        </w:rPr>
        <w:t>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6"/>
        </w:numPr>
        <w:ind w:left="1134" w:hanging="425"/>
        <w:jc w:val="both"/>
        <w:rPr>
          <w:szCs w:val="24"/>
        </w:rPr>
      </w:pPr>
      <w:r w:rsidRPr="001F3343">
        <w:rPr>
          <w:szCs w:val="24"/>
        </w:rPr>
        <w:t>„piegādājamo preču” (pakalpojumu, būvdarbu, piegāžu utt.) atbilstība plāniem, rēķiniem, pieņemšanas dokumentiem, ekspertu ziņojumiem utt., vajadzības gadījumā veicot pārbaudi uz vietas;</w:t>
      </w:r>
    </w:p>
    <w:p w:rsidR="00874C90" w:rsidRPr="001F3343" w:rsidRDefault="00874C90" w:rsidP="00874C90">
      <w:pPr>
        <w:pStyle w:val="ListParagraph"/>
        <w:numPr>
          <w:ilvl w:val="0"/>
          <w:numId w:val="6"/>
        </w:numPr>
        <w:ind w:left="1134" w:hanging="425"/>
        <w:jc w:val="both"/>
        <w:rPr>
          <w:szCs w:val="24"/>
        </w:rPr>
      </w:pPr>
      <w:r w:rsidRPr="001F3343">
        <w:rPr>
          <w:szCs w:val="24"/>
        </w:rPr>
        <w:t>atbalsta maksājumu apstiprināšanas nosacījumu ievērošanas pārbaude;</w:t>
      </w:r>
    </w:p>
    <w:p w:rsidR="00874C90" w:rsidRPr="001F3343" w:rsidRDefault="008C4438" w:rsidP="00874C90">
      <w:pPr>
        <w:pStyle w:val="ListParagraph"/>
        <w:numPr>
          <w:ilvl w:val="0"/>
          <w:numId w:val="6"/>
        </w:numPr>
        <w:ind w:left="1134" w:hanging="425"/>
        <w:jc w:val="both"/>
        <w:rPr>
          <w:szCs w:val="24"/>
        </w:rPr>
      </w:pPr>
      <w:r>
        <w:rPr>
          <w:szCs w:val="24"/>
        </w:rPr>
        <w:t xml:space="preserve">maksājuma </w:t>
      </w:r>
      <w:r w:rsidR="00874C90" w:rsidRPr="001F3343">
        <w:rPr>
          <w:szCs w:val="24"/>
        </w:rPr>
        <w:t>pieprasījumā iekļauto izdevumu atbilstības pārbaude;</w:t>
      </w:r>
    </w:p>
    <w:p w:rsidR="00874C90" w:rsidRPr="001F3343" w:rsidRDefault="00874C90" w:rsidP="00874C90">
      <w:pPr>
        <w:pStyle w:val="ListParagraph"/>
        <w:numPr>
          <w:ilvl w:val="0"/>
          <w:numId w:val="6"/>
        </w:numPr>
        <w:ind w:left="1134" w:hanging="425"/>
        <w:jc w:val="both"/>
        <w:rPr>
          <w:szCs w:val="24"/>
        </w:rPr>
      </w:pPr>
      <w:r w:rsidRPr="001F3343">
        <w:rPr>
          <w:szCs w:val="24"/>
        </w:rPr>
        <w:t>visu radušos jautājumu pienācīga noskaidrošana pirms pieprasījuma apstiprināšanas;</w:t>
      </w:r>
    </w:p>
    <w:p w:rsidR="00874C90" w:rsidRPr="001F3343" w:rsidRDefault="00874C90" w:rsidP="00874C90">
      <w:pPr>
        <w:pStyle w:val="ListParagraph"/>
        <w:numPr>
          <w:ilvl w:val="0"/>
          <w:numId w:val="6"/>
        </w:numPr>
        <w:ind w:left="1134" w:hanging="425"/>
        <w:jc w:val="both"/>
        <w:rPr>
          <w:szCs w:val="24"/>
        </w:rPr>
      </w:pPr>
      <w:r w:rsidRPr="001F3343">
        <w:rPr>
          <w:szCs w:val="24"/>
        </w:rPr>
        <w:t>piemērotas un uzticamas uzskaites sistēmas darbības nodrošināšana;</w:t>
      </w:r>
    </w:p>
    <w:p w:rsidR="00874C90" w:rsidRPr="001F3343" w:rsidRDefault="00874C90" w:rsidP="00874C90">
      <w:pPr>
        <w:pStyle w:val="ListParagraph"/>
        <w:numPr>
          <w:ilvl w:val="0"/>
          <w:numId w:val="6"/>
        </w:numPr>
        <w:ind w:left="1134" w:hanging="425"/>
        <w:jc w:val="both"/>
        <w:rPr>
          <w:szCs w:val="24"/>
        </w:rPr>
      </w:pPr>
      <w:r w:rsidRPr="001F3343">
        <w:rPr>
          <w:szCs w:val="24"/>
        </w:rPr>
        <w:t>revīzijas liecību nodrošināšana visos sistēmas līmeņos, sākot no finansējuma saņēmēja vai iestādes vai uzņēmuma, kas veic attiecīgo programmas darbību;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ind w:left="720"/>
        <w:jc w:val="both"/>
        <w:rPr>
          <w:szCs w:val="24"/>
        </w:rPr>
      </w:pPr>
      <w:r w:rsidRPr="001F3343">
        <w:rPr>
          <w:szCs w:val="24"/>
        </w:rPr>
        <w:t>Saprātīgu pasākumu veikšana, kas ļauj pārliecināties par to, ka Komisijai apliecināto izdevumu deklarācijas ir pareizas, proti: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szCs w:val="24"/>
        </w:rPr>
      </w:pPr>
      <w:r w:rsidRPr="001F3343">
        <w:rPr>
          <w:szCs w:val="24"/>
        </w:rPr>
        <w:t>projektos, kas izraudzīti līdzfinansēšanai saskaņā ar ierastajām procedūrām un ievērojot visus paredzētos noteikumus un nosacījumus, izdevumi ir izdarīti atbilstošajā laika posmā,</w:t>
      </w:r>
    </w:p>
    <w:p w:rsidR="00874C90" w:rsidRPr="001F3343" w:rsidRDefault="00874C90" w:rsidP="00874C90">
      <w:pPr>
        <w:pStyle w:val="ListParagraph"/>
        <w:numPr>
          <w:ilvl w:val="0"/>
          <w:numId w:val="7"/>
        </w:numPr>
        <w:tabs>
          <w:tab w:val="left" w:pos="1134"/>
        </w:tabs>
        <w:ind w:left="1134" w:hanging="425"/>
        <w:jc w:val="both"/>
        <w:rPr>
          <w:szCs w:val="24"/>
        </w:rPr>
      </w:pPr>
      <w:r w:rsidRPr="001F3343">
        <w:rPr>
          <w:szCs w:val="24"/>
        </w:rPr>
        <w:t>pasākumos, kuriem visu valsts atbalstu ir oficiāli apstiprinājusi Komisija,</w:t>
      </w:r>
    </w:p>
    <w:p w:rsidR="00874C90" w:rsidRPr="001F3343" w:rsidRDefault="00874C90" w:rsidP="00874C90">
      <w:pPr>
        <w:pStyle w:val="ListParagraph"/>
        <w:numPr>
          <w:ilvl w:val="0"/>
          <w:numId w:val="7"/>
        </w:numPr>
        <w:tabs>
          <w:tab w:val="left" w:pos="1134"/>
        </w:tabs>
        <w:ind w:hanging="11"/>
        <w:jc w:val="both"/>
        <w:rPr>
          <w:szCs w:val="24"/>
        </w:rPr>
      </w:pPr>
      <w:r w:rsidRPr="001F3343">
        <w:rPr>
          <w:szCs w:val="24"/>
        </w:rPr>
        <w:t>līdzfinansētie projekti patiešām ir īstenoti.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3"/>
        </w:numPr>
        <w:ind w:left="1134" w:hanging="425"/>
        <w:jc w:val="both"/>
        <w:rPr>
          <w:szCs w:val="24"/>
        </w:rPr>
      </w:pPr>
      <w:r w:rsidRPr="001F3343">
        <w:rPr>
          <w:szCs w:val="24"/>
        </w:rPr>
        <w:t>Projektu izlases veida pārbaude pietiekamā skaitā un kvalitātē un pienācīga turpmākā kontrole: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964F02" w:rsidP="00874C90">
      <w:pPr>
        <w:pStyle w:val="ListParagraph"/>
        <w:numPr>
          <w:ilvl w:val="0"/>
          <w:numId w:val="8"/>
        </w:numPr>
        <w:ind w:hanging="371"/>
        <w:jc w:val="both"/>
        <w:rPr>
          <w:szCs w:val="24"/>
        </w:rPr>
      </w:pPr>
      <w:r w:rsidRPr="001F3343">
        <w:rPr>
          <w:szCs w:val="24"/>
        </w:rPr>
        <w:t xml:space="preserve">izlases kārtā pārbauda </w:t>
      </w:r>
      <w:r w:rsidR="008C4438" w:rsidRPr="001F3343">
        <w:rPr>
          <w:szCs w:val="24"/>
        </w:rPr>
        <w:t>att</w:t>
      </w:r>
      <w:r w:rsidR="008C4438">
        <w:rPr>
          <w:szCs w:val="24"/>
        </w:rPr>
        <w:t>iecināmos</w:t>
      </w:r>
      <w:r w:rsidR="008C4438" w:rsidRPr="001F3343">
        <w:rPr>
          <w:szCs w:val="24"/>
        </w:rPr>
        <w:t xml:space="preserve"> </w:t>
      </w:r>
      <w:r w:rsidR="00874C90" w:rsidRPr="001F3343">
        <w:rPr>
          <w:szCs w:val="24"/>
        </w:rPr>
        <w:t>izdevumu</w:t>
      </w:r>
      <w:r w:rsidRPr="001F3343">
        <w:rPr>
          <w:szCs w:val="24"/>
        </w:rPr>
        <w:t>s saskaņā ar</w:t>
      </w:r>
      <w:r w:rsidR="00874C90" w:rsidRPr="001F3343">
        <w:rPr>
          <w:szCs w:val="24"/>
        </w:rPr>
        <w:t xml:space="preserve"> </w:t>
      </w:r>
      <w:r w:rsidR="00C22959" w:rsidRPr="00D53CBE">
        <w:t>De</w:t>
      </w:r>
      <w:r w:rsidR="00C22959">
        <w:t xml:space="preserve">leģēto </w:t>
      </w:r>
      <w:r w:rsidR="00874C90" w:rsidRPr="001F3343">
        <w:rPr>
          <w:szCs w:val="24"/>
        </w:rPr>
        <w:t>regulu, un to apstiprina ziņojums par revidenta paveikto darbu;</w:t>
      </w:r>
    </w:p>
    <w:p w:rsidR="00874C90" w:rsidRPr="001F3343" w:rsidRDefault="00874C90" w:rsidP="00874C90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1F3343">
        <w:rPr>
          <w:szCs w:val="24"/>
        </w:rPr>
        <w:t>izlase ir reprezentatīva un pienācīgi veikta riska analīze;</w:t>
      </w:r>
    </w:p>
    <w:p w:rsidR="00874C90" w:rsidRPr="001F3343" w:rsidRDefault="00874C90" w:rsidP="00874C90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1F3343">
        <w:rPr>
          <w:szCs w:val="24"/>
        </w:rPr>
        <w:t>pienācīgs vadības funkciju sadalījums, kas nodrošina neatkarību;</w:t>
      </w:r>
    </w:p>
    <w:p w:rsidR="00874C90" w:rsidRPr="001F3343" w:rsidRDefault="00874C90" w:rsidP="00874C90">
      <w:pPr>
        <w:pStyle w:val="ListParagraph"/>
        <w:numPr>
          <w:ilvl w:val="0"/>
          <w:numId w:val="8"/>
        </w:numPr>
        <w:jc w:val="both"/>
        <w:rPr>
          <w:szCs w:val="24"/>
        </w:rPr>
      </w:pPr>
      <w:r w:rsidRPr="001F3343">
        <w:rPr>
          <w:szCs w:val="24"/>
        </w:rPr>
        <w:t>atkārtota pārbaužu rezultātu kontrole, kas nodrošina: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5"/>
        </w:numPr>
        <w:jc w:val="both"/>
        <w:rPr>
          <w:szCs w:val="24"/>
        </w:rPr>
      </w:pPr>
      <w:r w:rsidRPr="001F3343">
        <w:rPr>
          <w:szCs w:val="24"/>
        </w:rPr>
        <w:t>rezultātu un, attiecīgā gadījumā, finanšu korekciju pienācīgu novērtējumu,</w:t>
      </w:r>
    </w:p>
    <w:p w:rsidR="00874C90" w:rsidRPr="001F3343" w:rsidRDefault="00874C90" w:rsidP="00874C90">
      <w:pPr>
        <w:pStyle w:val="ListParagraph"/>
        <w:numPr>
          <w:ilvl w:val="0"/>
          <w:numId w:val="5"/>
        </w:numPr>
        <w:jc w:val="both"/>
        <w:rPr>
          <w:szCs w:val="24"/>
        </w:rPr>
      </w:pPr>
      <w:r w:rsidRPr="001F3343">
        <w:rPr>
          <w:szCs w:val="24"/>
        </w:rPr>
        <w:t>iespēju veikt vispārīgus pasākumus sistēmisku neatbilstību novēršanai.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247745" w:rsidRDefault="00874C90" w:rsidP="00874C90">
      <w:pPr>
        <w:pStyle w:val="ListParagraph"/>
        <w:numPr>
          <w:ilvl w:val="0"/>
          <w:numId w:val="8"/>
        </w:numPr>
        <w:jc w:val="both"/>
      </w:pPr>
      <w:r w:rsidRPr="00247745">
        <w:rPr>
          <w:szCs w:val="24"/>
        </w:rPr>
        <w:t>pienācīga pārbaude, ko paredz saistībā ar noslēguma izdevumu deklarācijas sagatavošanu</w:t>
      </w:r>
      <w:r w:rsidR="00247745" w:rsidRPr="00247745">
        <w:rPr>
          <w:szCs w:val="24"/>
        </w:rPr>
        <w:t>.</w:t>
      </w:r>
    </w:p>
    <w:p w:rsidR="00874C90" w:rsidRDefault="00874C90" w:rsidP="00874C90">
      <w:pPr>
        <w:jc w:val="both"/>
        <w:rPr>
          <w:szCs w:val="24"/>
        </w:rPr>
      </w:pPr>
      <w:r w:rsidRPr="001F3343">
        <w:rPr>
          <w:szCs w:val="24"/>
        </w:rPr>
        <w:t xml:space="preserve"> </w:t>
      </w:r>
    </w:p>
    <w:p w:rsidR="00714551" w:rsidRDefault="00714551" w:rsidP="00874C90">
      <w:pPr>
        <w:jc w:val="both"/>
        <w:rPr>
          <w:szCs w:val="24"/>
        </w:rPr>
      </w:pPr>
    </w:p>
    <w:p w:rsidR="00874C90" w:rsidRPr="001F3343" w:rsidRDefault="00874C90" w:rsidP="00570DFC">
      <w:pPr>
        <w:ind w:firstLine="360"/>
        <w:jc w:val="both"/>
        <w:rPr>
          <w:b/>
          <w:szCs w:val="24"/>
        </w:rPr>
      </w:pPr>
      <w:proofErr w:type="spellStart"/>
      <w:r w:rsidRPr="001F3343">
        <w:rPr>
          <w:b/>
          <w:szCs w:val="24"/>
        </w:rPr>
        <w:t>Palīgelementi</w:t>
      </w:r>
      <w:proofErr w:type="spellEnd"/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9"/>
        </w:numPr>
        <w:jc w:val="both"/>
        <w:rPr>
          <w:szCs w:val="24"/>
        </w:rPr>
      </w:pPr>
      <w:r w:rsidRPr="001F3343">
        <w:rPr>
          <w:szCs w:val="24"/>
        </w:rPr>
        <w:t>pienācīga administratīvā kontrole, izmantojot tipveida pārbaudes lapas vai tām līdzvērtīgus paņēmienus, un rūpīga rezultātu dokumentēšana, lai, piemēram, pārliecinātos par to, ka: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74C90" w:rsidP="00874C90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1F3343">
        <w:rPr>
          <w:szCs w:val="24"/>
        </w:rPr>
        <w:lastRenderedPageBreak/>
        <w:t xml:space="preserve">maksājuma </w:t>
      </w:r>
      <w:r w:rsidR="008C4438" w:rsidRPr="001F3343">
        <w:rPr>
          <w:szCs w:val="24"/>
        </w:rPr>
        <w:t>pieprasījum</w:t>
      </w:r>
      <w:r w:rsidR="008C4438">
        <w:rPr>
          <w:szCs w:val="24"/>
        </w:rPr>
        <w:t>ā iekļautie attiecināmie izdevumi</w:t>
      </w:r>
      <w:r w:rsidR="008C4438" w:rsidRPr="001F3343">
        <w:rPr>
          <w:szCs w:val="24"/>
        </w:rPr>
        <w:t xml:space="preserve"> </w:t>
      </w:r>
      <w:r w:rsidRPr="001F3343">
        <w:rPr>
          <w:szCs w:val="24"/>
        </w:rPr>
        <w:t xml:space="preserve">nav jau agrāk </w:t>
      </w:r>
      <w:r w:rsidR="008C4438">
        <w:rPr>
          <w:szCs w:val="24"/>
        </w:rPr>
        <w:t>apstiprināti un atmaksāti, ja attiecināms,</w:t>
      </w:r>
      <w:r w:rsidR="008C4438" w:rsidRPr="001F3343">
        <w:rPr>
          <w:szCs w:val="24"/>
        </w:rPr>
        <w:t xml:space="preserve"> </w:t>
      </w:r>
      <w:r w:rsidRPr="001F3343">
        <w:rPr>
          <w:szCs w:val="24"/>
        </w:rPr>
        <w:t>un darījumi (līgumi, kvītis, rēķini, maksājumi) ir nošķirami cits no cita,</w:t>
      </w:r>
    </w:p>
    <w:p w:rsidR="00874C90" w:rsidRPr="001F3343" w:rsidRDefault="00874C90" w:rsidP="00874C90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1F3343">
        <w:rPr>
          <w:szCs w:val="24"/>
        </w:rPr>
        <w:t>uzskaites sistēmā uzrādītie izdevumi atbilst iegrāmatotajiem izdevumiem;</w:t>
      </w:r>
    </w:p>
    <w:p w:rsidR="00874C90" w:rsidRPr="001F3343" w:rsidRDefault="00874C90" w:rsidP="00874C90">
      <w:pPr>
        <w:jc w:val="both"/>
        <w:rPr>
          <w:szCs w:val="24"/>
        </w:rPr>
      </w:pPr>
    </w:p>
    <w:p w:rsidR="00874C90" w:rsidRPr="001F3343" w:rsidRDefault="008C4438" w:rsidP="00874C90">
      <w:pPr>
        <w:pStyle w:val="ListParagraph"/>
        <w:numPr>
          <w:ilvl w:val="0"/>
          <w:numId w:val="9"/>
        </w:numPr>
        <w:jc w:val="both"/>
        <w:rPr>
          <w:szCs w:val="24"/>
        </w:rPr>
      </w:pPr>
      <w:r w:rsidRPr="001F3343">
        <w:rPr>
          <w:szCs w:val="24"/>
        </w:rPr>
        <w:t>maksājum</w:t>
      </w:r>
      <w:r>
        <w:rPr>
          <w:szCs w:val="24"/>
        </w:rPr>
        <w:t>a</w:t>
      </w:r>
      <w:r w:rsidRPr="001F3343">
        <w:rPr>
          <w:szCs w:val="24"/>
        </w:rPr>
        <w:t xml:space="preserve"> </w:t>
      </w:r>
      <w:r w:rsidR="00874C90" w:rsidRPr="001F3343">
        <w:rPr>
          <w:szCs w:val="24"/>
        </w:rPr>
        <w:t>pieprasījumu izskatīšanas un apstiprināšanas procedūru pienācīga pārraudzība;</w:t>
      </w:r>
    </w:p>
    <w:p w:rsidR="00874C90" w:rsidRPr="001F3343" w:rsidRDefault="00874C90" w:rsidP="00874C90">
      <w:pPr>
        <w:pStyle w:val="ListParagraph"/>
        <w:numPr>
          <w:ilvl w:val="0"/>
          <w:numId w:val="9"/>
        </w:numPr>
        <w:jc w:val="both"/>
        <w:rPr>
          <w:szCs w:val="24"/>
        </w:rPr>
      </w:pPr>
      <w:r w:rsidRPr="001F3343">
        <w:rPr>
          <w:szCs w:val="24"/>
        </w:rPr>
        <w:t xml:space="preserve">efektīvas procedūras, kas ļauj pienācīgi izplatīt informāciju par </w:t>
      </w:r>
      <w:r w:rsidR="003B5565">
        <w:rPr>
          <w:szCs w:val="24"/>
        </w:rPr>
        <w:t xml:space="preserve">Eiropas Savienības </w:t>
      </w:r>
      <w:r w:rsidRPr="001F3343">
        <w:rPr>
          <w:szCs w:val="24"/>
        </w:rPr>
        <w:t>noteikumiem;</w:t>
      </w:r>
    </w:p>
    <w:p w:rsidR="0096361F" w:rsidRDefault="00322C6D" w:rsidP="006A6D39">
      <w:pPr>
        <w:pStyle w:val="ListParagraph"/>
        <w:numPr>
          <w:ilvl w:val="0"/>
          <w:numId w:val="9"/>
        </w:numPr>
        <w:jc w:val="both"/>
      </w:pPr>
      <w:r w:rsidRPr="00C22959">
        <w:rPr>
          <w:szCs w:val="24"/>
        </w:rPr>
        <w:t xml:space="preserve">Eiropas Savienības </w:t>
      </w:r>
      <w:r w:rsidR="00874C90" w:rsidRPr="00C22959">
        <w:rPr>
          <w:szCs w:val="24"/>
        </w:rPr>
        <w:t>finansējuma savlaicīga izmaksāšana finansējuma saņēmējiem.</w:t>
      </w:r>
    </w:p>
    <w:sectPr w:rsidR="0096361F" w:rsidSect="007145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D49" w:rsidRDefault="008A7D49" w:rsidP="00D57A4F">
      <w:r>
        <w:separator/>
      </w:r>
    </w:p>
  </w:endnote>
  <w:endnote w:type="continuationSeparator" w:id="0">
    <w:p w:rsidR="008A7D49" w:rsidRDefault="008A7D49" w:rsidP="00D5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57" w:rsidRDefault="00E734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57" w:rsidRDefault="00E734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57" w:rsidRDefault="00E734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D49" w:rsidRDefault="008A7D49" w:rsidP="00D57A4F">
      <w:r>
        <w:separator/>
      </w:r>
    </w:p>
  </w:footnote>
  <w:footnote w:type="continuationSeparator" w:id="0">
    <w:p w:rsidR="008A7D49" w:rsidRDefault="008A7D49" w:rsidP="00D57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57" w:rsidRDefault="00E734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89F" w:rsidRDefault="0032789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5232">
      <w:rPr>
        <w:noProof/>
      </w:rPr>
      <w:t>2</w:t>
    </w:r>
    <w:r>
      <w:fldChar w:fldCharType="end"/>
    </w:r>
  </w:p>
  <w:p w:rsidR="00D57A4F" w:rsidRDefault="00D57A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3398"/>
      <w:gridCol w:w="1134"/>
      <w:gridCol w:w="1513"/>
      <w:gridCol w:w="1052"/>
    </w:tblGrid>
    <w:tr w:rsidR="00E73457" w:rsidTr="00E73457">
      <w:trPr>
        <w:trHeight w:val="889"/>
        <w:jc w:val="center"/>
      </w:trPr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73457" w:rsidRDefault="00E73457" w:rsidP="00E73457">
          <w:pPr>
            <w:tabs>
              <w:tab w:val="center" w:pos="4153"/>
              <w:tab w:val="right" w:pos="8306"/>
            </w:tabs>
            <w:ind w:right="360"/>
            <w:jc w:val="both"/>
            <w:rPr>
              <w:sz w:val="18"/>
            </w:rPr>
          </w:pPr>
          <w:r>
            <w:rPr>
              <w:sz w:val="18"/>
            </w:rPr>
            <w:t>Iestāde:</w:t>
          </w:r>
          <w:r>
            <w:rPr>
              <w:b/>
              <w:bCs/>
              <w:sz w:val="18"/>
            </w:rPr>
            <w:t xml:space="preserve"> Finanšu ministrija</w:t>
          </w:r>
        </w:p>
        <w:p w:rsidR="00E73457" w:rsidRDefault="00E73457" w:rsidP="00E73457">
          <w:pPr>
            <w:tabs>
              <w:tab w:val="center" w:pos="4153"/>
              <w:tab w:val="right" w:pos="8306"/>
            </w:tabs>
            <w:jc w:val="both"/>
            <w:rPr>
              <w:b/>
              <w:bCs/>
              <w:sz w:val="18"/>
            </w:rPr>
          </w:pPr>
          <w:r>
            <w:rPr>
              <w:sz w:val="18"/>
            </w:rPr>
            <w:t>Struktūrvienība:</w:t>
          </w:r>
          <w:r>
            <w:rPr>
              <w:b/>
              <w:bCs/>
              <w:sz w:val="18"/>
            </w:rPr>
            <w:t xml:space="preserve"> </w:t>
          </w:r>
        </w:p>
        <w:p w:rsidR="00E73457" w:rsidRDefault="00E73457" w:rsidP="00E73457">
          <w:pPr>
            <w:tabs>
              <w:tab w:val="center" w:pos="4153"/>
              <w:tab w:val="right" w:pos="8306"/>
            </w:tabs>
            <w:jc w:val="both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Eiropas Savienības fondu vadības un kontroles departaments</w:t>
          </w:r>
        </w:p>
      </w:tc>
      <w:tc>
        <w:tcPr>
          <w:tcW w:w="33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73457" w:rsidRDefault="00E73457" w:rsidP="00E73457">
          <w:pPr>
            <w:tabs>
              <w:tab w:val="center" w:pos="4153"/>
              <w:tab w:val="right" w:pos="8306"/>
            </w:tabs>
            <w:rPr>
              <w:sz w:val="18"/>
            </w:rPr>
          </w:pPr>
        </w:p>
      </w:tc>
      <w:tc>
        <w:tcPr>
          <w:tcW w:w="369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73457" w:rsidRDefault="00E73457" w:rsidP="00E73457">
          <w:pPr>
            <w:tabs>
              <w:tab w:val="center" w:pos="4153"/>
              <w:tab w:val="right" w:pos="8306"/>
            </w:tabs>
            <w:rPr>
              <w:sz w:val="18"/>
            </w:rPr>
          </w:pPr>
          <w:r>
            <w:rPr>
              <w:sz w:val="18"/>
            </w:rPr>
            <w:t>Dokumenta nosaukums:</w:t>
          </w:r>
        </w:p>
        <w:p w:rsidR="00E73457" w:rsidRDefault="00E73457" w:rsidP="00E73457">
          <w:pPr>
            <w:jc w:val="both"/>
            <w:rPr>
              <w:b/>
              <w:sz w:val="18"/>
              <w:szCs w:val="20"/>
            </w:rPr>
          </w:pPr>
          <w:r>
            <w:rPr>
              <w:b/>
              <w:sz w:val="18"/>
              <w:szCs w:val="20"/>
            </w:rPr>
            <w:t>Vadlīnijas par finanšu korekciju piemērošanu, ziņošanu par Eiropas Savienības fondu ieviešanā konstatētajām neatbilstībām, neatbilstoši veikto izdevumu atgūšanu 2014.-2020.gada plānošanas periodā</w:t>
          </w:r>
        </w:p>
      </w:tc>
    </w:tr>
    <w:tr w:rsidR="00E73457" w:rsidTr="006E4B4D">
      <w:trPr>
        <w:trHeight w:val="876"/>
        <w:jc w:val="center"/>
      </w:trPr>
      <w:tc>
        <w:tcPr>
          <w:tcW w:w="2551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hideMark/>
        </w:tcPr>
        <w:p w:rsidR="00E73457" w:rsidRDefault="00E73457" w:rsidP="00E73457">
          <w:pPr>
            <w:tabs>
              <w:tab w:val="center" w:pos="4153"/>
              <w:tab w:val="right" w:pos="8306"/>
            </w:tabs>
            <w:rPr>
              <w:b/>
              <w:bCs/>
              <w:sz w:val="18"/>
            </w:rPr>
          </w:pPr>
          <w:r>
            <w:rPr>
              <w:sz w:val="18"/>
            </w:rPr>
            <w:t>Sagatavoja:</w:t>
          </w:r>
          <w:r>
            <w:rPr>
              <w:b/>
              <w:bCs/>
              <w:sz w:val="18"/>
            </w:rPr>
            <w:t xml:space="preserve"> </w:t>
          </w:r>
        </w:p>
        <w:p w:rsidR="00E73457" w:rsidRDefault="00E73457" w:rsidP="00E73457">
          <w:pPr>
            <w:tabs>
              <w:tab w:val="center" w:pos="4153"/>
              <w:tab w:val="right" w:pos="8306"/>
            </w:tabs>
            <w:jc w:val="both"/>
            <w:rPr>
              <w:sz w:val="18"/>
            </w:rPr>
          </w:pPr>
          <w:r>
            <w:rPr>
              <w:b/>
              <w:bCs/>
              <w:sz w:val="18"/>
            </w:rPr>
            <w:t>Eiropas Savienības fondu ieviešanas vadības nodaļa</w:t>
          </w:r>
        </w:p>
      </w:tc>
      <w:tc>
        <w:tcPr>
          <w:tcW w:w="3398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</w:tcPr>
        <w:p w:rsidR="00E73457" w:rsidRDefault="00E73457" w:rsidP="00E73457">
          <w:pPr>
            <w:tabs>
              <w:tab w:val="center" w:pos="4153"/>
              <w:tab w:val="right" w:pos="8306"/>
            </w:tabs>
            <w:rPr>
              <w:b/>
              <w:bCs/>
              <w:sz w:val="18"/>
            </w:rPr>
          </w:pPr>
          <w:r>
            <w:rPr>
              <w:sz w:val="18"/>
            </w:rPr>
            <w:t xml:space="preserve">Apstiprināts: </w:t>
          </w:r>
          <w:r>
            <w:rPr>
              <w:b/>
              <w:bCs/>
              <w:sz w:val="18"/>
            </w:rPr>
            <w:t xml:space="preserve"> </w:t>
          </w:r>
        </w:p>
        <w:p w:rsidR="00E73457" w:rsidRDefault="00E73457" w:rsidP="006E4B4D">
          <w:pPr>
            <w:tabs>
              <w:tab w:val="center" w:pos="4153"/>
              <w:tab w:val="right" w:pos="8306"/>
            </w:tabs>
            <w:jc w:val="both"/>
            <w:rPr>
              <w:sz w:val="18"/>
            </w:rPr>
          </w:pPr>
          <w:r>
            <w:rPr>
              <w:b/>
              <w:bCs/>
              <w:sz w:val="18"/>
              <w:szCs w:val="18"/>
            </w:rPr>
            <w:t>Vadošās iestādes vadītāja vietā – Eiropas Savienības fondu uzraudzības departamenta direktore D.Rancāne</w:t>
          </w:r>
        </w:p>
      </w:tc>
      <w:tc>
        <w:tcPr>
          <w:tcW w:w="1134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hideMark/>
        </w:tcPr>
        <w:p w:rsidR="00E73457" w:rsidRDefault="00E73457" w:rsidP="00E73457">
          <w:pPr>
            <w:tabs>
              <w:tab w:val="center" w:pos="4153"/>
              <w:tab w:val="right" w:pos="8306"/>
            </w:tabs>
            <w:jc w:val="both"/>
            <w:rPr>
              <w:sz w:val="18"/>
            </w:rPr>
          </w:pPr>
          <w:r>
            <w:rPr>
              <w:sz w:val="18"/>
            </w:rPr>
            <w:t>Variants:</w:t>
          </w:r>
        </w:p>
        <w:p w:rsidR="00E73457" w:rsidRDefault="00805232" w:rsidP="00E73457">
          <w:pPr>
            <w:tabs>
              <w:tab w:val="center" w:pos="4153"/>
              <w:tab w:val="right" w:pos="8306"/>
            </w:tabs>
            <w:jc w:val="center"/>
            <w:rPr>
              <w:sz w:val="18"/>
            </w:rPr>
          </w:pPr>
          <w:r>
            <w:rPr>
              <w:sz w:val="18"/>
            </w:rPr>
            <w:t>4</w:t>
          </w:r>
          <w:bookmarkStart w:id="0" w:name="_GoBack"/>
          <w:bookmarkEnd w:id="0"/>
        </w:p>
      </w:tc>
      <w:tc>
        <w:tcPr>
          <w:tcW w:w="1513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</w:tcPr>
        <w:p w:rsidR="00E73457" w:rsidRDefault="00E73457" w:rsidP="00E73457">
          <w:pPr>
            <w:tabs>
              <w:tab w:val="center" w:pos="4153"/>
              <w:tab w:val="right" w:pos="8306"/>
            </w:tabs>
            <w:jc w:val="both"/>
            <w:rPr>
              <w:sz w:val="18"/>
            </w:rPr>
          </w:pPr>
          <w:r>
            <w:rPr>
              <w:sz w:val="18"/>
            </w:rPr>
            <w:t>Datums:</w:t>
          </w:r>
        </w:p>
        <w:p w:rsidR="00E73457" w:rsidRDefault="009F601C" w:rsidP="00E73457">
          <w:pPr>
            <w:tabs>
              <w:tab w:val="center" w:pos="4153"/>
              <w:tab w:val="right" w:pos="8306"/>
            </w:tabs>
            <w:jc w:val="center"/>
            <w:rPr>
              <w:sz w:val="18"/>
            </w:rPr>
          </w:pPr>
          <w:r>
            <w:rPr>
              <w:sz w:val="18"/>
              <w:szCs w:val="18"/>
            </w:rPr>
            <w:t>22.08.2017.</w:t>
          </w:r>
        </w:p>
      </w:tc>
      <w:tc>
        <w:tcPr>
          <w:tcW w:w="1052" w:type="dxa"/>
          <w:tcBorders>
            <w:top w:val="single" w:sz="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</w:tcPr>
        <w:p w:rsidR="00E73457" w:rsidRDefault="00E73457" w:rsidP="00E73457">
          <w:pPr>
            <w:tabs>
              <w:tab w:val="center" w:pos="4153"/>
              <w:tab w:val="right" w:pos="8306"/>
            </w:tabs>
            <w:jc w:val="both"/>
            <w:rPr>
              <w:sz w:val="18"/>
            </w:rPr>
          </w:pPr>
          <w:r>
            <w:rPr>
              <w:sz w:val="18"/>
            </w:rPr>
            <w:t>Lappuses:</w:t>
          </w:r>
        </w:p>
        <w:p w:rsidR="00E73457" w:rsidRDefault="00E73457" w:rsidP="00E73457">
          <w:pPr>
            <w:tabs>
              <w:tab w:val="center" w:pos="4153"/>
              <w:tab w:val="right" w:pos="830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 \* MERGEFORMAT </w:instrText>
          </w:r>
          <w:r>
            <w:rPr>
              <w:b/>
              <w:sz w:val="18"/>
            </w:rPr>
            <w:fldChar w:fldCharType="separate"/>
          </w:r>
          <w:r w:rsidR="00805232">
            <w:rPr>
              <w:b/>
              <w:noProof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no 3</w:t>
          </w:r>
        </w:p>
        <w:p w:rsidR="00E73457" w:rsidRDefault="00E73457" w:rsidP="00E73457">
          <w:pPr>
            <w:tabs>
              <w:tab w:val="center" w:pos="4153"/>
              <w:tab w:val="right" w:pos="8306"/>
            </w:tabs>
            <w:jc w:val="center"/>
            <w:rPr>
              <w:b/>
              <w:sz w:val="18"/>
            </w:rPr>
          </w:pPr>
        </w:p>
      </w:tc>
    </w:tr>
  </w:tbl>
  <w:p w:rsidR="000D0BDD" w:rsidRDefault="000D0B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2363"/>
    <w:multiLevelType w:val="multilevel"/>
    <w:tmpl w:val="85D00A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F1D40B5"/>
    <w:multiLevelType w:val="hybridMultilevel"/>
    <w:tmpl w:val="5928DFB6"/>
    <w:lvl w:ilvl="0" w:tplc="D5B4F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30C2E"/>
    <w:multiLevelType w:val="hybridMultilevel"/>
    <w:tmpl w:val="C660E8C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0601D"/>
    <w:multiLevelType w:val="multilevel"/>
    <w:tmpl w:val="023615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B2B103B"/>
    <w:multiLevelType w:val="hybridMultilevel"/>
    <w:tmpl w:val="9D203B30"/>
    <w:lvl w:ilvl="0" w:tplc="51524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420903"/>
    <w:multiLevelType w:val="hybridMultilevel"/>
    <w:tmpl w:val="33BC12F6"/>
    <w:lvl w:ilvl="0" w:tplc="D5B4F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3A3984"/>
    <w:multiLevelType w:val="hybridMultilevel"/>
    <w:tmpl w:val="5C64D2D2"/>
    <w:lvl w:ilvl="0" w:tplc="042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370CFC"/>
    <w:multiLevelType w:val="hybridMultilevel"/>
    <w:tmpl w:val="BDB663CE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004D3"/>
    <w:multiLevelType w:val="hybridMultilevel"/>
    <w:tmpl w:val="65ACE18A"/>
    <w:lvl w:ilvl="0" w:tplc="D5B4F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F5771"/>
    <w:multiLevelType w:val="hybridMultilevel"/>
    <w:tmpl w:val="A0D6C956"/>
    <w:lvl w:ilvl="0" w:tplc="59F8E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C4546B"/>
    <w:multiLevelType w:val="hybridMultilevel"/>
    <w:tmpl w:val="320C80FC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90"/>
    <w:rsid w:val="00033522"/>
    <w:rsid w:val="00037620"/>
    <w:rsid w:val="00054A28"/>
    <w:rsid w:val="000567F2"/>
    <w:rsid w:val="00062D45"/>
    <w:rsid w:val="0008271B"/>
    <w:rsid w:val="00093490"/>
    <w:rsid w:val="000D0BDD"/>
    <w:rsid w:val="000D1398"/>
    <w:rsid w:val="000E307E"/>
    <w:rsid w:val="00106640"/>
    <w:rsid w:val="001145E8"/>
    <w:rsid w:val="00151F4B"/>
    <w:rsid w:val="001754F8"/>
    <w:rsid w:val="001E44B0"/>
    <w:rsid w:val="001F3343"/>
    <w:rsid w:val="00211803"/>
    <w:rsid w:val="00220EED"/>
    <w:rsid w:val="00223019"/>
    <w:rsid w:val="00244AB5"/>
    <w:rsid w:val="00247745"/>
    <w:rsid w:val="00260C6A"/>
    <w:rsid w:val="002855FD"/>
    <w:rsid w:val="00295D46"/>
    <w:rsid w:val="002A2A1C"/>
    <w:rsid w:val="002B4470"/>
    <w:rsid w:val="002D6BD2"/>
    <w:rsid w:val="003174B7"/>
    <w:rsid w:val="00322C6D"/>
    <w:rsid w:val="0032789F"/>
    <w:rsid w:val="0035042F"/>
    <w:rsid w:val="00364C3C"/>
    <w:rsid w:val="003943AA"/>
    <w:rsid w:val="003A55C7"/>
    <w:rsid w:val="003B5565"/>
    <w:rsid w:val="003D4449"/>
    <w:rsid w:val="00413A6D"/>
    <w:rsid w:val="004861D1"/>
    <w:rsid w:val="00487E54"/>
    <w:rsid w:val="004C0419"/>
    <w:rsid w:val="004D22AA"/>
    <w:rsid w:val="004F43E9"/>
    <w:rsid w:val="004F5171"/>
    <w:rsid w:val="00517C4B"/>
    <w:rsid w:val="0056522A"/>
    <w:rsid w:val="00567596"/>
    <w:rsid w:val="00570DFC"/>
    <w:rsid w:val="00585C23"/>
    <w:rsid w:val="00594B46"/>
    <w:rsid w:val="005D0284"/>
    <w:rsid w:val="005D15C5"/>
    <w:rsid w:val="005E5832"/>
    <w:rsid w:val="005E72E6"/>
    <w:rsid w:val="006129A0"/>
    <w:rsid w:val="00630080"/>
    <w:rsid w:val="006466EC"/>
    <w:rsid w:val="006531CD"/>
    <w:rsid w:val="00675CFF"/>
    <w:rsid w:val="006A6D39"/>
    <w:rsid w:val="006C431C"/>
    <w:rsid w:val="006E2CBC"/>
    <w:rsid w:val="006E4B4D"/>
    <w:rsid w:val="006F44B2"/>
    <w:rsid w:val="006F61EC"/>
    <w:rsid w:val="00714551"/>
    <w:rsid w:val="0071538F"/>
    <w:rsid w:val="007476CA"/>
    <w:rsid w:val="007A4950"/>
    <w:rsid w:val="007B0584"/>
    <w:rsid w:val="007B541F"/>
    <w:rsid w:val="007C67BF"/>
    <w:rsid w:val="007F1EE4"/>
    <w:rsid w:val="007F32A1"/>
    <w:rsid w:val="007F4673"/>
    <w:rsid w:val="00805232"/>
    <w:rsid w:val="00820B9D"/>
    <w:rsid w:val="00823552"/>
    <w:rsid w:val="00874C90"/>
    <w:rsid w:val="008A7D49"/>
    <w:rsid w:val="008C4438"/>
    <w:rsid w:val="008C794C"/>
    <w:rsid w:val="00911379"/>
    <w:rsid w:val="0096361F"/>
    <w:rsid w:val="00963C65"/>
    <w:rsid w:val="00964F02"/>
    <w:rsid w:val="009909A1"/>
    <w:rsid w:val="009B158E"/>
    <w:rsid w:val="009E1778"/>
    <w:rsid w:val="009E42E6"/>
    <w:rsid w:val="009F601C"/>
    <w:rsid w:val="00A04683"/>
    <w:rsid w:val="00A21457"/>
    <w:rsid w:val="00A300DB"/>
    <w:rsid w:val="00A45E21"/>
    <w:rsid w:val="00A639FC"/>
    <w:rsid w:val="00A7215B"/>
    <w:rsid w:val="00A756E7"/>
    <w:rsid w:val="00AB281C"/>
    <w:rsid w:val="00AC1F70"/>
    <w:rsid w:val="00AD0E10"/>
    <w:rsid w:val="00AD173E"/>
    <w:rsid w:val="00AF147C"/>
    <w:rsid w:val="00B23A58"/>
    <w:rsid w:val="00B704DB"/>
    <w:rsid w:val="00BC785C"/>
    <w:rsid w:val="00BD3C53"/>
    <w:rsid w:val="00BF782B"/>
    <w:rsid w:val="00C003FC"/>
    <w:rsid w:val="00C0321E"/>
    <w:rsid w:val="00C22959"/>
    <w:rsid w:val="00C575C7"/>
    <w:rsid w:val="00C6288E"/>
    <w:rsid w:val="00CA115E"/>
    <w:rsid w:val="00CE63D2"/>
    <w:rsid w:val="00D06A4D"/>
    <w:rsid w:val="00D51140"/>
    <w:rsid w:val="00D53CBE"/>
    <w:rsid w:val="00D57A4F"/>
    <w:rsid w:val="00D86AA6"/>
    <w:rsid w:val="00DA28E6"/>
    <w:rsid w:val="00E232C7"/>
    <w:rsid w:val="00E31BFC"/>
    <w:rsid w:val="00E67B0F"/>
    <w:rsid w:val="00E73457"/>
    <w:rsid w:val="00E75D9C"/>
    <w:rsid w:val="00F15C1A"/>
    <w:rsid w:val="00F20CD4"/>
    <w:rsid w:val="00F57E86"/>
    <w:rsid w:val="00F605E1"/>
    <w:rsid w:val="00F70AA4"/>
    <w:rsid w:val="00FC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;"/>
  <w14:docId w14:val="2077D3EB"/>
  <w15:chartTrackingRefBased/>
  <w15:docId w15:val="{38CC742F-9DAB-4C5D-B434-1CA36322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C90"/>
    <w:rPr>
      <w:rFonts w:eastAsia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C90"/>
    <w:pPr>
      <w:ind w:left="720"/>
      <w:contextualSpacing/>
    </w:pPr>
  </w:style>
  <w:style w:type="paragraph" w:styleId="NormalWeb">
    <w:name w:val="Normal (Web)"/>
    <w:basedOn w:val="Normal"/>
    <w:rsid w:val="00570DFC"/>
    <w:pPr>
      <w:spacing w:before="75" w:after="75"/>
    </w:pPr>
    <w:rPr>
      <w:szCs w:val="24"/>
    </w:rPr>
  </w:style>
  <w:style w:type="paragraph" w:styleId="Footer">
    <w:name w:val="footer"/>
    <w:basedOn w:val="Normal"/>
    <w:link w:val="FooterChar"/>
    <w:rsid w:val="002855FD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FooterChar">
    <w:name w:val="Footer Char"/>
    <w:link w:val="Footer"/>
    <w:rsid w:val="002855FD"/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57A4F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D57A4F"/>
    <w:rPr>
      <w:rFonts w:eastAsia="Times New Roman"/>
      <w:sz w:val="24"/>
      <w:szCs w:val="22"/>
    </w:rPr>
  </w:style>
  <w:style w:type="character" w:styleId="CommentReference">
    <w:name w:val="annotation reference"/>
    <w:semiHidden/>
    <w:rsid w:val="00517C4B"/>
    <w:rPr>
      <w:sz w:val="16"/>
      <w:szCs w:val="16"/>
    </w:rPr>
  </w:style>
  <w:style w:type="paragraph" w:styleId="CommentText">
    <w:name w:val="annotation text"/>
    <w:basedOn w:val="Normal"/>
    <w:semiHidden/>
    <w:rsid w:val="00517C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17C4B"/>
    <w:rPr>
      <w:b/>
      <w:bCs/>
    </w:rPr>
  </w:style>
  <w:style w:type="paragraph" w:styleId="BalloonText">
    <w:name w:val="Balloon Text"/>
    <w:basedOn w:val="Normal"/>
    <w:semiHidden/>
    <w:rsid w:val="00517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fm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pd-apsen</dc:creator>
  <cp:keywords/>
  <dc:description/>
  <cp:lastModifiedBy>Aļesja Boriseviča</cp:lastModifiedBy>
  <cp:revision>13</cp:revision>
  <cp:lastPrinted>2017-08-18T11:05:00Z</cp:lastPrinted>
  <dcterms:created xsi:type="dcterms:W3CDTF">2016-08-26T06:14:00Z</dcterms:created>
  <dcterms:modified xsi:type="dcterms:W3CDTF">2017-08-22T08:57:00Z</dcterms:modified>
</cp:coreProperties>
</file>