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7C0DC" w14:textId="77777777" w:rsidR="006C77C3" w:rsidRPr="009D07C7" w:rsidRDefault="006C08A6" w:rsidP="008C467A">
      <w:pPr>
        <w:ind w:left="12900"/>
        <w:jc w:val="both"/>
      </w:pPr>
      <w:r>
        <w:t>5</w:t>
      </w:r>
      <w:r w:rsidR="00810144" w:rsidRPr="009D07C7">
        <w:t>.pielikums</w:t>
      </w:r>
    </w:p>
    <w:p w14:paraId="323EA0D3" w14:textId="77777777" w:rsidR="00810144" w:rsidRPr="009D07C7" w:rsidRDefault="00810144"/>
    <w:p w14:paraId="27AC7D85" w14:textId="77777777" w:rsidR="00810144" w:rsidRPr="009D07C7" w:rsidRDefault="00810144" w:rsidP="00810144">
      <w:pPr>
        <w:jc w:val="center"/>
        <w:rPr>
          <w:b/>
          <w:sz w:val="28"/>
          <w:szCs w:val="28"/>
        </w:rPr>
      </w:pPr>
      <w:r w:rsidRPr="009D07C7">
        <w:rPr>
          <w:b/>
          <w:sz w:val="28"/>
          <w:szCs w:val="28"/>
        </w:rPr>
        <w:t>Finanšu korekcijas apjoma noteikšana</w:t>
      </w:r>
    </w:p>
    <w:p w14:paraId="1F581A01" w14:textId="77777777" w:rsidR="00C66F00" w:rsidRPr="009D07C7" w:rsidRDefault="00C66F00" w:rsidP="00810144">
      <w:pPr>
        <w:jc w:val="center"/>
        <w:rPr>
          <w:b/>
          <w:sz w:val="28"/>
          <w:szCs w:val="28"/>
        </w:rPr>
      </w:pPr>
    </w:p>
    <w:p w14:paraId="11EA652B" w14:textId="77777777" w:rsidR="00765900" w:rsidRDefault="00765900" w:rsidP="003C2BFB">
      <w:pPr>
        <w:numPr>
          <w:ilvl w:val="0"/>
          <w:numId w:val="18"/>
        </w:numPr>
        <w:spacing w:before="120"/>
        <w:jc w:val="both"/>
        <w:rPr>
          <w:b/>
          <w:sz w:val="20"/>
          <w:szCs w:val="20"/>
        </w:rPr>
      </w:pPr>
      <w:r>
        <w:rPr>
          <w:b/>
          <w:sz w:val="20"/>
          <w:szCs w:val="20"/>
        </w:rPr>
        <w:t>P</w:t>
      </w:r>
      <w:r w:rsidRPr="00765900">
        <w:rPr>
          <w:b/>
          <w:sz w:val="20"/>
          <w:szCs w:val="20"/>
        </w:rPr>
        <w:t>roporcionālo finanšu korekciju saskaņā ar vadlīnijām par finanšu korekciju piemērošanu</w:t>
      </w:r>
      <w:r>
        <w:rPr>
          <w:b/>
          <w:sz w:val="20"/>
          <w:szCs w:val="20"/>
        </w:rPr>
        <w:t xml:space="preserve"> piemēro, ja, </w:t>
      </w:r>
      <w:r w:rsidRPr="00765900">
        <w:rPr>
          <w:b/>
          <w:sz w:val="20"/>
          <w:szCs w:val="20"/>
        </w:rPr>
        <w:t xml:space="preserve">pieņemot </w:t>
      </w:r>
      <w:r>
        <w:rPr>
          <w:b/>
          <w:sz w:val="20"/>
          <w:szCs w:val="20"/>
        </w:rPr>
        <w:t>lēmumu par neatbilstību</w:t>
      </w:r>
      <w:r w:rsidRPr="00765900">
        <w:rPr>
          <w:b/>
          <w:sz w:val="20"/>
          <w:szCs w:val="20"/>
        </w:rPr>
        <w:t xml:space="preserve">, </w:t>
      </w:r>
      <w:r>
        <w:rPr>
          <w:b/>
          <w:sz w:val="20"/>
          <w:szCs w:val="20"/>
        </w:rPr>
        <w:t>secinām</w:t>
      </w:r>
      <w:r w:rsidRPr="00765900">
        <w:rPr>
          <w:b/>
          <w:sz w:val="20"/>
          <w:szCs w:val="20"/>
        </w:rPr>
        <w:t xml:space="preserve">, ka neatbilstoši veikto izdevumu summu nav iespējams konkrēti noteikt vai būtu nesamērīgi samazināt projekta attiecināmo </w:t>
      </w:r>
      <w:r w:rsidR="001D6BC3" w:rsidRPr="00765900">
        <w:rPr>
          <w:b/>
          <w:sz w:val="20"/>
          <w:szCs w:val="20"/>
        </w:rPr>
        <w:t>iz</w:t>
      </w:r>
      <w:r w:rsidR="001D6BC3">
        <w:rPr>
          <w:b/>
          <w:sz w:val="20"/>
          <w:szCs w:val="20"/>
        </w:rPr>
        <w:t>devumu</w:t>
      </w:r>
      <w:r w:rsidR="001D6BC3" w:rsidRPr="00765900">
        <w:rPr>
          <w:b/>
          <w:sz w:val="20"/>
          <w:szCs w:val="20"/>
        </w:rPr>
        <w:t xml:space="preserve"> </w:t>
      </w:r>
      <w:r w:rsidRPr="00765900">
        <w:rPr>
          <w:b/>
          <w:sz w:val="20"/>
          <w:szCs w:val="20"/>
        </w:rPr>
        <w:t>summu par visu izdevumu summu, kas neatbilst normatīvo aktu un civiltiesiskā līguma vai vienošanās par p</w:t>
      </w:r>
      <w:r>
        <w:rPr>
          <w:b/>
          <w:sz w:val="20"/>
          <w:szCs w:val="20"/>
        </w:rPr>
        <w:t>rojekta īstenošanu nosacījumiem.</w:t>
      </w:r>
    </w:p>
    <w:p w14:paraId="6837DD10" w14:textId="77777777" w:rsidR="009D07C7" w:rsidRDefault="00C66F00" w:rsidP="003C2BFB">
      <w:pPr>
        <w:numPr>
          <w:ilvl w:val="0"/>
          <w:numId w:val="18"/>
        </w:numPr>
        <w:spacing w:before="120"/>
        <w:jc w:val="both"/>
        <w:rPr>
          <w:b/>
          <w:sz w:val="20"/>
          <w:szCs w:val="20"/>
        </w:rPr>
      </w:pPr>
      <w:r w:rsidRPr="009D07C7">
        <w:rPr>
          <w:b/>
          <w:sz w:val="20"/>
          <w:szCs w:val="20"/>
        </w:rPr>
        <w:t xml:space="preserve">Pielikumā iekļautajiem </w:t>
      </w:r>
      <w:r w:rsidR="009C4DD4">
        <w:rPr>
          <w:b/>
          <w:sz w:val="20"/>
          <w:szCs w:val="20"/>
        </w:rPr>
        <w:t>aprakstiem</w:t>
      </w:r>
      <w:r w:rsidRPr="009D07C7">
        <w:rPr>
          <w:b/>
          <w:sz w:val="20"/>
          <w:szCs w:val="20"/>
        </w:rPr>
        <w:t xml:space="preserve"> ir informatīvs un ilustrējošs rakstu</w:t>
      </w:r>
      <w:r w:rsidR="009D3A6F">
        <w:rPr>
          <w:b/>
          <w:sz w:val="20"/>
          <w:szCs w:val="20"/>
        </w:rPr>
        <w:t>r</w:t>
      </w:r>
      <w:r w:rsidRPr="009D07C7">
        <w:rPr>
          <w:b/>
          <w:sz w:val="20"/>
          <w:szCs w:val="20"/>
        </w:rPr>
        <w:t>s. Vadlīnijās un šajā pielikumā noteikti pamatprincipi proporcionālo finanšu korekciju piemērošanai, tādēļ gadījumos, kad konkrētais gadījums neatbilst kādam no iekļautajiem piemēriem, jāņem vērā noteiktie pamatprincipi.</w:t>
      </w:r>
    </w:p>
    <w:p w14:paraId="4228A2BA" w14:textId="77777777" w:rsidR="001527A7" w:rsidRDefault="001527A7" w:rsidP="001527A7">
      <w:pPr>
        <w:ind w:left="720"/>
        <w:jc w:val="both"/>
        <w:rPr>
          <w:b/>
          <w:sz w:val="20"/>
          <w:szCs w:val="20"/>
        </w:rPr>
      </w:pPr>
    </w:p>
    <w:p w14:paraId="2BF79356" w14:textId="77777777" w:rsidR="001527A7" w:rsidRPr="001527A7" w:rsidRDefault="001527A7" w:rsidP="00AA289C">
      <w:pPr>
        <w:numPr>
          <w:ilvl w:val="0"/>
          <w:numId w:val="18"/>
        </w:numPr>
        <w:jc w:val="both"/>
        <w:rPr>
          <w:b/>
          <w:sz w:val="20"/>
          <w:szCs w:val="20"/>
        </w:rPr>
      </w:pPr>
      <w:r w:rsidRPr="001527A7">
        <w:rPr>
          <w:b/>
          <w:sz w:val="20"/>
          <w:szCs w:val="20"/>
        </w:rPr>
        <w:t>Saskaņā ar EK 19.12.2013. vadlīniju par finanšu korekcijām iepirkumu pārkāpumu gadījumā 1.2.2.apakšsadaļu nosacījumus par Līgumā par Eiropas Savienības darbību  noteikto principu ievērošanu piemēro arī iepirkumiem, kas ir zem Direktīvu</w:t>
      </w:r>
      <w:r w:rsidR="00AA289C">
        <w:rPr>
          <w:b/>
          <w:sz w:val="20"/>
          <w:szCs w:val="20"/>
        </w:rPr>
        <w:t xml:space="preserve">, </w:t>
      </w:r>
      <w:r w:rsidR="00AA289C" w:rsidRPr="00AA289C">
        <w:rPr>
          <w:b/>
          <w:sz w:val="20"/>
          <w:szCs w:val="20"/>
        </w:rPr>
        <w:t>kas regulē publiskos iepirkumus</w:t>
      </w:r>
      <w:r w:rsidR="00AA289C">
        <w:rPr>
          <w:b/>
          <w:sz w:val="20"/>
          <w:szCs w:val="20"/>
        </w:rPr>
        <w:t>,</w:t>
      </w:r>
      <w:r w:rsidRPr="001527A7">
        <w:rPr>
          <w:b/>
          <w:sz w:val="20"/>
          <w:szCs w:val="20"/>
        </w:rPr>
        <w:t xml:space="preserve"> sliekšņiem. </w:t>
      </w:r>
    </w:p>
    <w:p w14:paraId="53DC14F2" w14:textId="77777777" w:rsidR="00361A9B" w:rsidRDefault="00361A9B" w:rsidP="001527A7">
      <w:pPr>
        <w:ind w:left="720"/>
        <w:jc w:val="both"/>
        <w:rPr>
          <w:b/>
          <w:sz w:val="20"/>
          <w:szCs w:val="20"/>
        </w:rPr>
      </w:pPr>
    </w:p>
    <w:p w14:paraId="3D1C656D" w14:textId="177D0E3D" w:rsidR="001527A7" w:rsidRPr="001B1FBC" w:rsidRDefault="001527A7" w:rsidP="00915E34">
      <w:pPr>
        <w:numPr>
          <w:ilvl w:val="0"/>
          <w:numId w:val="18"/>
        </w:numPr>
        <w:jc w:val="both"/>
        <w:rPr>
          <w:b/>
          <w:sz w:val="20"/>
          <w:szCs w:val="20"/>
        </w:rPr>
      </w:pPr>
      <w:r w:rsidRPr="001527A7">
        <w:rPr>
          <w:b/>
          <w:sz w:val="20"/>
          <w:szCs w:val="20"/>
        </w:rPr>
        <w:t xml:space="preserve">Ja iepirkuma pārkāpums konstatēts iepirkumā, kas noslēgts pamatojoties uz iepirkuma procesu, kas izriet no </w:t>
      </w:r>
      <w:r w:rsidRPr="00915E34">
        <w:rPr>
          <w:b/>
          <w:color w:val="000000" w:themeColor="text1"/>
          <w:sz w:val="20"/>
          <w:szCs w:val="20"/>
        </w:rPr>
        <w:t xml:space="preserve">Ministru kabineta </w:t>
      </w:r>
      <w:r w:rsidR="00915E34" w:rsidRPr="00915E34">
        <w:rPr>
          <w:b/>
          <w:color w:val="000000" w:themeColor="text1"/>
          <w:sz w:val="20"/>
          <w:szCs w:val="20"/>
        </w:rPr>
        <w:t>2017.gada 28.februāra  noteikumiem Nr.104 “Noteikumi par iepirkuma procedūru un tās piemērošanas kārtību pasūtītāja finansētiem projektiem”</w:t>
      </w:r>
      <w:r w:rsidRPr="00915E34">
        <w:rPr>
          <w:b/>
          <w:color w:val="000000" w:themeColor="text1"/>
          <w:sz w:val="20"/>
          <w:szCs w:val="20"/>
        </w:rPr>
        <w:t>, lai noteiktu finanšu korekcijas apjomu, izmanto pārkāpumu vērtēšanas principus, kas izriet no šo vadlīniju 5.pielikuma 14.-38.punktiem, taču piemēro šo vadlīniju 5.pielikuma 40.-44.punktā noteiktās finanšu korekcijas likmes. Savukārt, ja konstatētā iepirkuma pārkāpuma būtība nav saistīta ar šo vadlīniju 5.pielikuma 14.-38.punktā apra</w:t>
      </w:r>
      <w:r w:rsidRPr="001527A7">
        <w:rPr>
          <w:b/>
          <w:sz w:val="20"/>
          <w:szCs w:val="20"/>
        </w:rPr>
        <w:t>kstīto, tad</w:t>
      </w:r>
      <w:r w:rsidR="00AA289C">
        <w:rPr>
          <w:b/>
          <w:sz w:val="20"/>
          <w:szCs w:val="20"/>
        </w:rPr>
        <w:t>,</w:t>
      </w:r>
      <w:r w:rsidRPr="001527A7">
        <w:rPr>
          <w:b/>
          <w:sz w:val="20"/>
          <w:szCs w:val="20"/>
        </w:rPr>
        <w:t xml:space="preserve"> lemjot par piemērojamo finanšu korekciju</w:t>
      </w:r>
      <w:r w:rsidR="00AA289C">
        <w:rPr>
          <w:b/>
          <w:sz w:val="20"/>
          <w:szCs w:val="20"/>
        </w:rPr>
        <w:t>,</w:t>
      </w:r>
      <w:r w:rsidRPr="001527A7">
        <w:rPr>
          <w:b/>
          <w:sz w:val="20"/>
          <w:szCs w:val="20"/>
        </w:rPr>
        <w:t xml:space="preserve"> ņem vērā šo vadlīniju 5.pielikuma 40.-44.punktā noteiktās finanšu korekciju likmes.</w:t>
      </w:r>
    </w:p>
    <w:p w14:paraId="056BD474" w14:textId="77777777" w:rsidR="00E569DC" w:rsidRPr="002679E5" w:rsidRDefault="00E569DC" w:rsidP="004A2D98">
      <w:pPr>
        <w:numPr>
          <w:ilvl w:val="0"/>
          <w:numId w:val="18"/>
        </w:numPr>
        <w:spacing w:before="120"/>
        <w:jc w:val="both"/>
        <w:rPr>
          <w:b/>
          <w:sz w:val="20"/>
          <w:szCs w:val="20"/>
        </w:rPr>
      </w:pPr>
      <w:r w:rsidRPr="004A2D98">
        <w:rPr>
          <w:b/>
          <w:sz w:val="20"/>
          <w:szCs w:val="20"/>
        </w:rPr>
        <w:t>Konstatējot vairākus pārkāpumus vienā iepirkumā, tiek piemērota finanšu korekcija atbilstoši</w:t>
      </w:r>
      <w:r w:rsidRPr="002679E5">
        <w:rPr>
          <w:b/>
          <w:sz w:val="20"/>
          <w:szCs w:val="20"/>
        </w:rPr>
        <w:t xml:space="preserve"> būtiskākajam (ar augstāko korekcijas apmēru) pārkāpumam.</w:t>
      </w:r>
    </w:p>
    <w:p w14:paraId="14C20F0E" w14:textId="77777777" w:rsidR="009D07C7" w:rsidRPr="002679E5" w:rsidRDefault="001413FE" w:rsidP="003C2BFB">
      <w:pPr>
        <w:numPr>
          <w:ilvl w:val="0"/>
          <w:numId w:val="18"/>
        </w:numPr>
        <w:spacing w:before="120"/>
        <w:jc w:val="both"/>
        <w:rPr>
          <w:b/>
          <w:sz w:val="28"/>
          <w:szCs w:val="28"/>
        </w:rPr>
      </w:pPr>
      <w:r w:rsidRPr="002679E5">
        <w:rPr>
          <w:b/>
          <w:sz w:val="20"/>
          <w:szCs w:val="20"/>
        </w:rPr>
        <w:t>Samērīguma princips piemērojams tiktāl</w:t>
      </w:r>
      <w:r w:rsidR="009C4DD4" w:rsidRPr="002679E5">
        <w:rPr>
          <w:b/>
          <w:sz w:val="20"/>
          <w:szCs w:val="20"/>
        </w:rPr>
        <w:t>,</w:t>
      </w:r>
      <w:r w:rsidRPr="002679E5">
        <w:rPr>
          <w:b/>
          <w:sz w:val="20"/>
          <w:szCs w:val="20"/>
        </w:rPr>
        <w:t xml:space="preserve"> cik to pieļauj </w:t>
      </w:r>
      <w:r w:rsidR="009D3A6F" w:rsidRPr="002679E5">
        <w:rPr>
          <w:b/>
          <w:sz w:val="20"/>
          <w:szCs w:val="20"/>
        </w:rPr>
        <w:t>noteikt</w:t>
      </w:r>
      <w:r w:rsidR="009D3A6F">
        <w:rPr>
          <w:b/>
          <w:sz w:val="20"/>
          <w:szCs w:val="20"/>
        </w:rPr>
        <w:t>ie</w:t>
      </w:r>
      <w:r w:rsidR="009D3A6F" w:rsidRPr="002679E5">
        <w:rPr>
          <w:b/>
          <w:sz w:val="20"/>
          <w:szCs w:val="20"/>
        </w:rPr>
        <w:t xml:space="preserve"> </w:t>
      </w:r>
      <w:r w:rsidRPr="002679E5">
        <w:rPr>
          <w:b/>
          <w:sz w:val="20"/>
          <w:szCs w:val="20"/>
        </w:rPr>
        <w:t>minimālie finanšu korekciju apjomi.</w:t>
      </w:r>
      <w:r w:rsidR="00BB69D5" w:rsidRPr="002679E5">
        <w:rPr>
          <w:b/>
          <w:sz w:val="20"/>
          <w:szCs w:val="20"/>
        </w:rPr>
        <w:t xml:space="preserve"> </w:t>
      </w:r>
    </w:p>
    <w:p w14:paraId="73C8464D" w14:textId="77777777" w:rsidR="008E053B" w:rsidRPr="002679E5" w:rsidRDefault="009C4DD4" w:rsidP="003C2BFB">
      <w:pPr>
        <w:numPr>
          <w:ilvl w:val="0"/>
          <w:numId w:val="18"/>
        </w:numPr>
        <w:spacing w:before="120"/>
        <w:jc w:val="both"/>
        <w:rPr>
          <w:b/>
          <w:sz w:val="20"/>
          <w:szCs w:val="20"/>
        </w:rPr>
      </w:pPr>
      <w:r w:rsidRPr="002679E5">
        <w:rPr>
          <w:b/>
          <w:sz w:val="20"/>
          <w:szCs w:val="20"/>
        </w:rPr>
        <w:t>Ja pārkāpumam ir tikai formāls raksturs bez jebkāda faktiskās vai iespējamās finansiālās ietekmes, tad finanšu korekciju nepiemēro.</w:t>
      </w:r>
    </w:p>
    <w:p w14:paraId="653DFD58" w14:textId="77777777" w:rsidR="00C66F00" w:rsidRPr="004F4EAF" w:rsidRDefault="00C66F00" w:rsidP="003C2BFB">
      <w:pPr>
        <w:numPr>
          <w:ilvl w:val="0"/>
          <w:numId w:val="18"/>
        </w:numPr>
        <w:spacing w:before="120"/>
        <w:jc w:val="both"/>
        <w:rPr>
          <w:b/>
          <w:sz w:val="28"/>
          <w:szCs w:val="28"/>
        </w:rPr>
      </w:pPr>
      <w:r w:rsidRPr="002679E5">
        <w:rPr>
          <w:b/>
          <w:sz w:val="20"/>
          <w:szCs w:val="20"/>
        </w:rPr>
        <w:t xml:space="preserve">Gadījumos, kad konstatēti formāli pārkāpumi vai konstatēts, ka ietekme uz </w:t>
      </w:r>
      <w:r w:rsidR="009D3A6F" w:rsidRPr="002679E5">
        <w:rPr>
          <w:b/>
          <w:sz w:val="20"/>
          <w:szCs w:val="20"/>
        </w:rPr>
        <w:t>iepirkum</w:t>
      </w:r>
      <w:r w:rsidR="009D3A6F">
        <w:rPr>
          <w:b/>
          <w:sz w:val="20"/>
          <w:szCs w:val="20"/>
        </w:rPr>
        <w:t>a</w:t>
      </w:r>
      <w:r w:rsidR="009D3A6F" w:rsidRPr="002679E5">
        <w:rPr>
          <w:b/>
          <w:sz w:val="20"/>
          <w:szCs w:val="20"/>
        </w:rPr>
        <w:t xml:space="preserve"> </w:t>
      </w:r>
      <w:r w:rsidRPr="002679E5">
        <w:rPr>
          <w:b/>
          <w:sz w:val="20"/>
          <w:szCs w:val="20"/>
        </w:rPr>
        <w:t>rezultātu nav būtiska, bet šādi pārkāpumi atkārtojas viena finansējuma saņēmēja īstenotajos projektos, sākotnējā kon</w:t>
      </w:r>
      <w:r w:rsidR="001B2A24" w:rsidRPr="002679E5">
        <w:rPr>
          <w:b/>
          <w:sz w:val="20"/>
          <w:szCs w:val="20"/>
        </w:rPr>
        <w:t>s</w:t>
      </w:r>
      <w:r w:rsidRPr="002679E5">
        <w:rPr>
          <w:b/>
          <w:sz w:val="20"/>
          <w:szCs w:val="20"/>
        </w:rPr>
        <w:t>t</w:t>
      </w:r>
      <w:r w:rsidR="001B2A24" w:rsidRPr="002679E5">
        <w:rPr>
          <w:b/>
          <w:sz w:val="20"/>
          <w:szCs w:val="20"/>
        </w:rPr>
        <w:t>at</w:t>
      </w:r>
      <w:r w:rsidRPr="002679E5">
        <w:rPr>
          <w:b/>
          <w:sz w:val="20"/>
          <w:szCs w:val="20"/>
        </w:rPr>
        <w:t xml:space="preserve">ēšanas reizē var brīdināt finansējuma saņēmēju, </w:t>
      </w:r>
      <w:r w:rsidR="007A1014">
        <w:rPr>
          <w:b/>
          <w:sz w:val="20"/>
          <w:szCs w:val="20"/>
        </w:rPr>
        <w:t xml:space="preserve">bet </w:t>
      </w:r>
      <w:r w:rsidRPr="002679E5">
        <w:rPr>
          <w:b/>
          <w:sz w:val="20"/>
          <w:szCs w:val="20"/>
        </w:rPr>
        <w:t xml:space="preserve">atkārtotu pārkāpumu </w:t>
      </w:r>
      <w:r w:rsidR="009D3A6F" w:rsidRPr="002679E5">
        <w:rPr>
          <w:b/>
          <w:sz w:val="20"/>
          <w:szCs w:val="20"/>
        </w:rPr>
        <w:t>ga</w:t>
      </w:r>
      <w:r w:rsidR="009D3A6F">
        <w:rPr>
          <w:b/>
          <w:sz w:val="20"/>
          <w:szCs w:val="20"/>
        </w:rPr>
        <w:t>d</w:t>
      </w:r>
      <w:r w:rsidR="009D3A6F" w:rsidRPr="002679E5">
        <w:rPr>
          <w:b/>
          <w:sz w:val="20"/>
          <w:szCs w:val="20"/>
        </w:rPr>
        <w:t xml:space="preserve">ījumos </w:t>
      </w:r>
      <w:r w:rsidRPr="002679E5">
        <w:rPr>
          <w:b/>
          <w:sz w:val="20"/>
          <w:szCs w:val="20"/>
        </w:rPr>
        <w:t>piemēro finanšu korekcijas, kas aprakstītas šī pielikumā sadaļā „vispārīgi jautājumi”</w:t>
      </w:r>
      <w:r w:rsidR="00AB5439" w:rsidRPr="002679E5">
        <w:rPr>
          <w:b/>
          <w:sz w:val="20"/>
          <w:szCs w:val="20"/>
        </w:rPr>
        <w:t>, lai nodrošinātu, ka turpmāk projektu īstenošanā netiek pieļauti līdzīgi pārkāpumi</w:t>
      </w:r>
      <w:r w:rsidRPr="002679E5">
        <w:rPr>
          <w:b/>
          <w:sz w:val="20"/>
          <w:szCs w:val="20"/>
        </w:rPr>
        <w:t xml:space="preserve">. </w:t>
      </w:r>
    </w:p>
    <w:p w14:paraId="162CFF19" w14:textId="77777777" w:rsidR="00CA1997" w:rsidRPr="00823944" w:rsidRDefault="004F4EAF" w:rsidP="00823944">
      <w:pPr>
        <w:numPr>
          <w:ilvl w:val="0"/>
          <w:numId w:val="18"/>
        </w:numPr>
        <w:spacing w:before="120"/>
        <w:jc w:val="both"/>
        <w:rPr>
          <w:b/>
          <w:sz w:val="20"/>
          <w:szCs w:val="20"/>
        </w:rPr>
      </w:pPr>
      <w:r>
        <w:rPr>
          <w:b/>
          <w:sz w:val="20"/>
          <w:szCs w:val="20"/>
        </w:rPr>
        <w:t xml:space="preserve">Gadījumā, </w:t>
      </w:r>
      <w:r w:rsidRPr="004F4EAF">
        <w:rPr>
          <w:b/>
          <w:sz w:val="20"/>
          <w:szCs w:val="20"/>
        </w:rPr>
        <w:t>ja par tādu pašu neatbilstību jau tik</w:t>
      </w:r>
      <w:r w:rsidR="004B63B0">
        <w:rPr>
          <w:b/>
          <w:sz w:val="20"/>
          <w:szCs w:val="20"/>
        </w:rPr>
        <w:t>a</w:t>
      </w:r>
      <w:r w:rsidRPr="004F4EAF">
        <w:rPr>
          <w:b/>
          <w:sz w:val="20"/>
          <w:szCs w:val="20"/>
        </w:rPr>
        <w:t xml:space="preserve"> piemērota finanšu korekcija </w:t>
      </w:r>
      <w:r>
        <w:rPr>
          <w:b/>
          <w:sz w:val="20"/>
          <w:szCs w:val="20"/>
        </w:rPr>
        <w:t xml:space="preserve">iepriekš </w:t>
      </w:r>
      <w:r w:rsidRPr="004F4EAF">
        <w:rPr>
          <w:b/>
          <w:sz w:val="20"/>
          <w:szCs w:val="20"/>
        </w:rPr>
        <w:t xml:space="preserve">un FS par to bijis informēts, bet tādu pašu </w:t>
      </w:r>
      <w:r>
        <w:rPr>
          <w:b/>
          <w:sz w:val="20"/>
          <w:szCs w:val="20"/>
        </w:rPr>
        <w:t>neatbilstību</w:t>
      </w:r>
      <w:r w:rsidRPr="004F4EAF">
        <w:rPr>
          <w:b/>
          <w:sz w:val="20"/>
          <w:szCs w:val="20"/>
        </w:rPr>
        <w:t xml:space="preserve"> pieļāvis atkārtoti, </w:t>
      </w:r>
      <w:r>
        <w:rPr>
          <w:b/>
          <w:sz w:val="20"/>
          <w:szCs w:val="20"/>
        </w:rPr>
        <w:t>vērtējot neatbilstības būtiskumu var tikt piemērot</w:t>
      </w:r>
      <w:r w:rsidR="004B63B0">
        <w:rPr>
          <w:b/>
          <w:sz w:val="20"/>
          <w:szCs w:val="20"/>
        </w:rPr>
        <w:t>s</w:t>
      </w:r>
      <w:r w:rsidRPr="004F4EAF">
        <w:rPr>
          <w:b/>
          <w:sz w:val="20"/>
          <w:szCs w:val="20"/>
        </w:rPr>
        <w:t xml:space="preserve"> </w:t>
      </w:r>
      <w:r>
        <w:rPr>
          <w:b/>
          <w:sz w:val="20"/>
          <w:szCs w:val="20"/>
        </w:rPr>
        <w:t>augstāks korekcijas apmērs</w:t>
      </w:r>
      <w:r w:rsidRPr="004F4EAF">
        <w:rPr>
          <w:b/>
          <w:sz w:val="20"/>
          <w:szCs w:val="20"/>
        </w:rPr>
        <w:t>.</w:t>
      </w:r>
    </w:p>
    <w:p w14:paraId="57432BA9" w14:textId="77777777" w:rsidR="00810144" w:rsidRDefault="00810144"/>
    <w:p w14:paraId="46EEDA78" w14:textId="77777777" w:rsidR="0096425D" w:rsidRPr="009D07C7" w:rsidRDefault="0096425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
        <w:gridCol w:w="5026"/>
        <w:gridCol w:w="6002"/>
        <w:gridCol w:w="61"/>
        <w:gridCol w:w="2667"/>
      </w:tblGrid>
      <w:tr w:rsidR="00810144" w:rsidRPr="009D07C7" w14:paraId="2F18C0C7" w14:textId="77777777" w:rsidTr="00EF0422">
        <w:trPr>
          <w:tblHeader/>
        </w:trPr>
        <w:tc>
          <w:tcPr>
            <w:tcW w:w="276" w:type="pct"/>
            <w:tcBorders>
              <w:bottom w:val="single" w:sz="4" w:space="0" w:color="auto"/>
            </w:tcBorders>
            <w:shd w:val="clear" w:color="auto" w:fill="D6E3BC"/>
            <w:vAlign w:val="center"/>
          </w:tcPr>
          <w:p w14:paraId="544012E5" w14:textId="77777777" w:rsidR="00810144" w:rsidRPr="009D07C7" w:rsidRDefault="00810144" w:rsidP="00E65D59">
            <w:pPr>
              <w:jc w:val="center"/>
              <w:rPr>
                <w:b/>
                <w:sz w:val="22"/>
                <w:szCs w:val="22"/>
              </w:rPr>
            </w:pPr>
            <w:r w:rsidRPr="009D07C7">
              <w:rPr>
                <w:b/>
                <w:sz w:val="22"/>
                <w:szCs w:val="22"/>
              </w:rPr>
              <w:lastRenderedPageBreak/>
              <w:t>Nr.</w:t>
            </w:r>
          </w:p>
        </w:tc>
        <w:tc>
          <w:tcPr>
            <w:tcW w:w="1726" w:type="pct"/>
            <w:tcBorders>
              <w:bottom w:val="single" w:sz="4" w:space="0" w:color="auto"/>
            </w:tcBorders>
            <w:shd w:val="clear" w:color="auto" w:fill="D6E3BC"/>
            <w:vAlign w:val="center"/>
          </w:tcPr>
          <w:p w14:paraId="3921CB36" w14:textId="77777777" w:rsidR="00810144" w:rsidRPr="009D07C7" w:rsidRDefault="00F56372" w:rsidP="00E65D59">
            <w:pPr>
              <w:jc w:val="center"/>
              <w:rPr>
                <w:b/>
                <w:sz w:val="22"/>
                <w:szCs w:val="22"/>
              </w:rPr>
            </w:pPr>
            <w:r>
              <w:rPr>
                <w:b/>
                <w:sz w:val="22"/>
                <w:szCs w:val="22"/>
              </w:rPr>
              <w:t>Neatbilstība</w:t>
            </w:r>
            <w:r w:rsidR="00F928D4">
              <w:rPr>
                <w:b/>
                <w:sz w:val="22"/>
                <w:szCs w:val="22"/>
              </w:rPr>
              <w:t xml:space="preserve"> </w:t>
            </w:r>
            <w:r>
              <w:rPr>
                <w:b/>
                <w:sz w:val="22"/>
                <w:szCs w:val="22"/>
              </w:rPr>
              <w:t>/ Pārkāpums</w:t>
            </w:r>
          </w:p>
        </w:tc>
        <w:tc>
          <w:tcPr>
            <w:tcW w:w="2082" w:type="pct"/>
            <w:gridSpan w:val="2"/>
            <w:tcBorders>
              <w:bottom w:val="single" w:sz="4" w:space="0" w:color="auto"/>
            </w:tcBorders>
            <w:shd w:val="clear" w:color="auto" w:fill="D6E3BC"/>
            <w:vAlign w:val="center"/>
          </w:tcPr>
          <w:p w14:paraId="607D9F4C" w14:textId="77777777" w:rsidR="00810144" w:rsidRPr="009D07C7" w:rsidRDefault="00D4646B" w:rsidP="00E65D59">
            <w:pPr>
              <w:jc w:val="center"/>
              <w:rPr>
                <w:b/>
                <w:sz w:val="22"/>
                <w:szCs w:val="22"/>
              </w:rPr>
            </w:pPr>
            <w:r>
              <w:rPr>
                <w:b/>
                <w:sz w:val="22"/>
                <w:szCs w:val="22"/>
              </w:rPr>
              <w:t>Neatbilstības apraksts</w:t>
            </w:r>
          </w:p>
        </w:tc>
        <w:tc>
          <w:tcPr>
            <w:tcW w:w="916" w:type="pct"/>
            <w:tcBorders>
              <w:bottom w:val="single" w:sz="4" w:space="0" w:color="auto"/>
            </w:tcBorders>
            <w:shd w:val="clear" w:color="auto" w:fill="D6E3BC"/>
            <w:vAlign w:val="center"/>
          </w:tcPr>
          <w:p w14:paraId="4E5507CA" w14:textId="77777777" w:rsidR="00810144" w:rsidRPr="009D07C7" w:rsidRDefault="00810144" w:rsidP="00E65D59">
            <w:pPr>
              <w:jc w:val="center"/>
              <w:rPr>
                <w:b/>
                <w:sz w:val="22"/>
                <w:szCs w:val="22"/>
              </w:rPr>
            </w:pPr>
            <w:r w:rsidRPr="009D07C7">
              <w:rPr>
                <w:b/>
                <w:sz w:val="22"/>
                <w:szCs w:val="22"/>
              </w:rPr>
              <w:t>Finanšu korekcijas apjoms</w:t>
            </w:r>
          </w:p>
        </w:tc>
      </w:tr>
      <w:tr w:rsidR="00810144" w:rsidRPr="009D07C7" w14:paraId="4C2FC9B8" w14:textId="77777777" w:rsidTr="00563EE9">
        <w:tc>
          <w:tcPr>
            <w:tcW w:w="5000" w:type="pct"/>
            <w:gridSpan w:val="5"/>
            <w:shd w:val="clear" w:color="auto" w:fill="C0C0C0"/>
          </w:tcPr>
          <w:p w14:paraId="63A85773" w14:textId="77777777" w:rsidR="00810144" w:rsidRPr="009D07C7" w:rsidRDefault="00810144" w:rsidP="00073600">
            <w:pPr>
              <w:jc w:val="center"/>
              <w:rPr>
                <w:b/>
                <w:sz w:val="22"/>
                <w:szCs w:val="22"/>
              </w:rPr>
            </w:pPr>
            <w:r w:rsidRPr="009D07C7">
              <w:rPr>
                <w:b/>
                <w:sz w:val="22"/>
                <w:szCs w:val="22"/>
              </w:rPr>
              <w:t>Sistēmas līmenis</w:t>
            </w:r>
            <w:r w:rsidR="00950C8C">
              <w:rPr>
                <w:rStyle w:val="FootnoteReference"/>
                <w:b/>
                <w:sz w:val="22"/>
                <w:szCs w:val="22"/>
              </w:rPr>
              <w:footnoteReference w:id="1"/>
            </w:r>
            <w:r w:rsidR="009F08D7" w:rsidRPr="009D07C7">
              <w:rPr>
                <w:b/>
                <w:sz w:val="22"/>
                <w:szCs w:val="22"/>
              </w:rPr>
              <w:t xml:space="preserve"> </w:t>
            </w:r>
          </w:p>
        </w:tc>
      </w:tr>
      <w:tr w:rsidR="00810144" w:rsidRPr="009D07C7" w14:paraId="526C0CEF" w14:textId="77777777" w:rsidTr="00563EE9">
        <w:tc>
          <w:tcPr>
            <w:tcW w:w="276" w:type="pct"/>
          </w:tcPr>
          <w:p w14:paraId="605A63BF" w14:textId="77777777" w:rsidR="00810144" w:rsidRPr="009D07C7" w:rsidRDefault="00810144" w:rsidP="00E65D59">
            <w:pPr>
              <w:numPr>
                <w:ilvl w:val="0"/>
                <w:numId w:val="1"/>
              </w:numPr>
              <w:rPr>
                <w:sz w:val="22"/>
                <w:szCs w:val="22"/>
              </w:rPr>
            </w:pPr>
          </w:p>
        </w:tc>
        <w:tc>
          <w:tcPr>
            <w:tcW w:w="1726" w:type="pct"/>
          </w:tcPr>
          <w:p w14:paraId="06B1704E" w14:textId="77777777" w:rsidR="00810144" w:rsidRPr="009D07C7" w:rsidRDefault="00810144" w:rsidP="00DB6BB6">
            <w:pPr>
              <w:jc w:val="both"/>
              <w:rPr>
                <w:sz w:val="22"/>
                <w:szCs w:val="22"/>
              </w:rPr>
            </w:pPr>
            <w:r w:rsidRPr="009D07C7">
              <w:rPr>
                <w:rFonts w:eastAsia="Calibri"/>
                <w:sz w:val="22"/>
                <w:szCs w:val="22"/>
                <w:lang w:eastAsia="en-US"/>
              </w:rPr>
              <w:t xml:space="preserve">Ja </w:t>
            </w:r>
            <w:r w:rsidRPr="00654481">
              <w:rPr>
                <w:rFonts w:eastAsia="Calibri"/>
                <w:b/>
                <w:sz w:val="22"/>
                <w:szCs w:val="22"/>
                <w:lang w:eastAsia="en-US"/>
              </w:rPr>
              <w:t>trūkumi vadības un kontroles sistēmā vai atsevišķi pārkāpumi ir tik būtiski</w:t>
            </w:r>
            <w:r w:rsidRPr="009D07C7">
              <w:rPr>
                <w:rFonts w:eastAsia="Calibri"/>
                <w:sz w:val="22"/>
                <w:szCs w:val="22"/>
                <w:lang w:eastAsia="en-US"/>
              </w:rPr>
              <w:t xml:space="preserve">, ka to var uzskatīt par vispārēju Latvijas Republikas un </w:t>
            </w:r>
            <w:r w:rsidR="00DB6BB6">
              <w:rPr>
                <w:rFonts w:eastAsia="Calibri"/>
                <w:sz w:val="22"/>
                <w:szCs w:val="22"/>
                <w:lang w:eastAsia="en-US"/>
              </w:rPr>
              <w:t>ES</w:t>
            </w:r>
            <w:r w:rsidRPr="009D07C7">
              <w:rPr>
                <w:rFonts w:eastAsia="Calibri"/>
                <w:sz w:val="22"/>
                <w:szCs w:val="22"/>
                <w:lang w:eastAsia="en-US"/>
              </w:rPr>
              <w:t xml:space="preserve"> normatīvo aktu neievērošanu vai arī, ja trūkumam ir krāpšanas pazīmes </w:t>
            </w:r>
            <w:r w:rsidR="00EB321D" w:rsidRPr="009D07C7">
              <w:rPr>
                <w:rFonts w:eastAsia="Calibri"/>
                <w:sz w:val="22"/>
                <w:szCs w:val="22"/>
                <w:lang w:eastAsia="en-US"/>
              </w:rPr>
              <w:t>(skat.</w:t>
            </w:r>
            <w:r w:rsidR="00AA06F3" w:rsidRPr="009D07C7">
              <w:rPr>
                <w:rFonts w:eastAsia="Calibri"/>
                <w:sz w:val="22"/>
                <w:szCs w:val="22"/>
                <w:lang w:eastAsia="en-US"/>
              </w:rPr>
              <w:t xml:space="preserve"> </w:t>
            </w:r>
            <w:r w:rsidR="00EB321D" w:rsidRPr="009D07C7">
              <w:rPr>
                <w:rFonts w:eastAsia="Calibri"/>
                <w:sz w:val="22"/>
                <w:szCs w:val="22"/>
                <w:lang w:eastAsia="en-US"/>
              </w:rPr>
              <w:t>arī šī pielikuma 10</w:t>
            </w:r>
            <w:r w:rsidR="001E7444" w:rsidRPr="009D07C7">
              <w:rPr>
                <w:rFonts w:eastAsia="Calibri"/>
                <w:sz w:val="22"/>
                <w:szCs w:val="22"/>
                <w:lang w:eastAsia="en-US"/>
              </w:rPr>
              <w:t>.punktu)</w:t>
            </w:r>
            <w:r w:rsidR="002C76CC" w:rsidRPr="009D07C7">
              <w:rPr>
                <w:rFonts w:eastAsia="Calibri"/>
                <w:sz w:val="22"/>
                <w:szCs w:val="22"/>
                <w:lang w:eastAsia="en-US"/>
              </w:rPr>
              <w:t>,</w:t>
            </w:r>
            <w:r w:rsidR="001E7444" w:rsidRPr="009D07C7">
              <w:rPr>
                <w:rFonts w:eastAsia="Calibri"/>
                <w:sz w:val="22"/>
                <w:szCs w:val="22"/>
                <w:lang w:eastAsia="en-US"/>
              </w:rPr>
              <w:t xml:space="preserve"> </w:t>
            </w:r>
            <w:r w:rsidRPr="009D07C7">
              <w:rPr>
                <w:rFonts w:eastAsia="Calibri"/>
                <w:sz w:val="22"/>
                <w:szCs w:val="22"/>
                <w:lang w:eastAsia="en-US"/>
              </w:rPr>
              <w:t>un tādēļ visi maksājumi ir uzskatāmi par nelikumīgiem.</w:t>
            </w:r>
          </w:p>
        </w:tc>
        <w:tc>
          <w:tcPr>
            <w:tcW w:w="2082" w:type="pct"/>
            <w:gridSpan w:val="2"/>
          </w:tcPr>
          <w:p w14:paraId="602E129C" w14:textId="77777777" w:rsidR="00810144" w:rsidRPr="009D07C7" w:rsidRDefault="00810144" w:rsidP="00DB6BB6">
            <w:pPr>
              <w:jc w:val="both"/>
              <w:rPr>
                <w:sz w:val="22"/>
                <w:szCs w:val="22"/>
              </w:rPr>
            </w:pPr>
            <w:r w:rsidRPr="009D07C7">
              <w:rPr>
                <w:sz w:val="22"/>
                <w:szCs w:val="22"/>
              </w:rPr>
              <w:t xml:space="preserve">Kontroles X ietvaros tiek konstatēts, ka nav ievēroti </w:t>
            </w:r>
            <w:r w:rsidR="00DB6BB6">
              <w:rPr>
                <w:rFonts w:eastAsia="Calibri"/>
                <w:sz w:val="22"/>
                <w:szCs w:val="22"/>
                <w:lang w:eastAsia="en-US"/>
              </w:rPr>
              <w:t>ES</w:t>
            </w:r>
            <w:r w:rsidRPr="009D07C7">
              <w:rPr>
                <w:sz w:val="22"/>
                <w:szCs w:val="22"/>
              </w:rPr>
              <w:t xml:space="preserve"> noteikumi attiecībā uz finanšu kontroli un labas finanšu pārvaldības principu ievērošanu, t.i., iesniegtie maksājumu pieprasījumi netiek atbilstoši pārbaudīti un apstiprināti.</w:t>
            </w:r>
            <w:r w:rsidR="009F08D7" w:rsidRPr="009D07C7">
              <w:rPr>
                <w:sz w:val="22"/>
                <w:szCs w:val="22"/>
              </w:rPr>
              <w:t xml:space="preserve"> Rezultātā </w:t>
            </w:r>
            <w:r w:rsidRPr="009D07C7">
              <w:rPr>
                <w:sz w:val="22"/>
                <w:szCs w:val="22"/>
              </w:rPr>
              <w:t>veiktie izdevumi tiek a</w:t>
            </w:r>
            <w:r w:rsidR="009F08D7" w:rsidRPr="009D07C7">
              <w:rPr>
                <w:sz w:val="22"/>
                <w:szCs w:val="22"/>
              </w:rPr>
              <w:t xml:space="preserve">tzīti par neatbilstošiem </w:t>
            </w:r>
            <w:r w:rsidRPr="009D07C7">
              <w:rPr>
                <w:sz w:val="22"/>
                <w:szCs w:val="22"/>
              </w:rPr>
              <w:t>un turpmākie maksājumi tiek pieļauti tikai tad, kad</w:t>
            </w:r>
            <w:r w:rsidR="009F08D7" w:rsidRPr="009D07C7">
              <w:rPr>
                <w:sz w:val="22"/>
                <w:szCs w:val="22"/>
              </w:rPr>
              <w:t xml:space="preserve"> tiek novērsti trūkumi </w:t>
            </w:r>
            <w:r w:rsidRPr="009D07C7">
              <w:rPr>
                <w:sz w:val="22"/>
                <w:szCs w:val="22"/>
              </w:rPr>
              <w:t>vadības un kontroles sistēmā. Šāds konstatējums var tikt atklāts visas sistēmas ietvaros, proti, ja kontroles rezultātā netiek gūta pārliecība, ka iesniegtie un apstiprinātie maksājumi ir atbilstoši veikti un pārbaudīti. Tādā gadījumā korekcija tiek piemērota visiem iepriekš veiktajiem izdevumiem.</w:t>
            </w:r>
          </w:p>
        </w:tc>
        <w:tc>
          <w:tcPr>
            <w:tcW w:w="916" w:type="pct"/>
          </w:tcPr>
          <w:p w14:paraId="628CE64D" w14:textId="77777777" w:rsidR="00810144" w:rsidRPr="009D07C7" w:rsidRDefault="00810144" w:rsidP="00E65D59">
            <w:pPr>
              <w:jc w:val="center"/>
              <w:rPr>
                <w:sz w:val="22"/>
                <w:szCs w:val="22"/>
              </w:rPr>
            </w:pPr>
            <w:r w:rsidRPr="009D07C7">
              <w:rPr>
                <w:sz w:val="22"/>
                <w:szCs w:val="22"/>
              </w:rPr>
              <w:t>100%</w:t>
            </w:r>
          </w:p>
        </w:tc>
      </w:tr>
      <w:tr w:rsidR="00810144" w:rsidRPr="009D07C7" w14:paraId="7CDA2EC5" w14:textId="77777777" w:rsidTr="00563EE9">
        <w:tc>
          <w:tcPr>
            <w:tcW w:w="276" w:type="pct"/>
          </w:tcPr>
          <w:p w14:paraId="16391B6C" w14:textId="77777777" w:rsidR="00810144" w:rsidRPr="009D07C7" w:rsidRDefault="00810144" w:rsidP="00E65D59">
            <w:pPr>
              <w:numPr>
                <w:ilvl w:val="0"/>
                <w:numId w:val="1"/>
              </w:numPr>
              <w:rPr>
                <w:sz w:val="22"/>
                <w:szCs w:val="22"/>
              </w:rPr>
            </w:pPr>
          </w:p>
        </w:tc>
        <w:tc>
          <w:tcPr>
            <w:tcW w:w="1726" w:type="pct"/>
          </w:tcPr>
          <w:p w14:paraId="27DDB59C" w14:textId="77777777" w:rsidR="00810144" w:rsidRPr="007A0800" w:rsidRDefault="009F08D7" w:rsidP="007C2629">
            <w:pPr>
              <w:pStyle w:val="Text3"/>
              <w:snapToGrid w:val="0"/>
              <w:spacing w:after="0"/>
              <w:ind w:left="0"/>
              <w:rPr>
                <w:sz w:val="22"/>
                <w:szCs w:val="22"/>
                <w:lang w:val="lv-LV"/>
              </w:rPr>
            </w:pPr>
            <w:r w:rsidRPr="007A0800">
              <w:rPr>
                <w:sz w:val="22"/>
                <w:szCs w:val="22"/>
                <w:lang w:val="lv-LV"/>
              </w:rPr>
              <w:t xml:space="preserve">Ja vadības un kontroles sistēmas darbībā tiek atklāti </w:t>
            </w:r>
            <w:r w:rsidRPr="00654481">
              <w:rPr>
                <w:b/>
                <w:sz w:val="22"/>
                <w:szCs w:val="22"/>
                <w:lang w:val="lv-LV"/>
              </w:rPr>
              <w:t>būtiski pārkāpumi un ir pierādījumi plaši izplatītām neatbilstībām</w:t>
            </w:r>
            <w:r w:rsidRPr="00654481">
              <w:rPr>
                <w:sz w:val="22"/>
                <w:szCs w:val="22"/>
                <w:lang w:val="lv-LV"/>
              </w:rPr>
              <w:t>,</w:t>
            </w:r>
            <w:r w:rsidRPr="007A0800">
              <w:rPr>
                <w:sz w:val="22"/>
                <w:szCs w:val="22"/>
                <w:lang w:val="lv-LV"/>
              </w:rPr>
              <w:t xml:space="preserve"> turklāt neatbilstību un krāpšanas gadījumu novēršanā novēro nolaidību, </w:t>
            </w:r>
            <w:r w:rsidR="007A1014">
              <w:rPr>
                <w:sz w:val="22"/>
                <w:szCs w:val="22"/>
                <w:lang w:val="lv-LV"/>
              </w:rPr>
              <w:t xml:space="preserve">piemērojama </w:t>
            </w:r>
            <w:r w:rsidRPr="007A0800">
              <w:rPr>
                <w:sz w:val="22"/>
                <w:szCs w:val="22"/>
                <w:lang w:val="lv-LV"/>
              </w:rPr>
              <w:t xml:space="preserve">korekcija 25% apmērā, ja var pamatoti secināt, ka nelikumīgu maksājumu pieprasījumu nesodīta iesniegšana fondiem ir radījusi/radīs īpaši smagus zaudējumus. </w:t>
            </w:r>
          </w:p>
        </w:tc>
        <w:tc>
          <w:tcPr>
            <w:tcW w:w="2082" w:type="pct"/>
            <w:gridSpan w:val="2"/>
          </w:tcPr>
          <w:p w14:paraId="7F8CDE0F" w14:textId="77777777" w:rsidR="00810144" w:rsidRPr="009D07C7" w:rsidRDefault="009F08D7" w:rsidP="00E65D59">
            <w:pPr>
              <w:jc w:val="both"/>
              <w:rPr>
                <w:sz w:val="22"/>
                <w:szCs w:val="22"/>
              </w:rPr>
            </w:pPr>
            <w:r w:rsidRPr="009D07C7">
              <w:rPr>
                <w:sz w:val="22"/>
                <w:szCs w:val="22"/>
              </w:rPr>
              <w:t>Kontroles X ietvaros tiek konstatēts, ka pārbaudes projektu īstenošanas vietās nav veiktas atbilstoši normatīvo aktu prasībām un pienācīgā kvalitātē, kas nedod pārliecību, ka par veiktajiem izdevumiem ir veikti atbilstoši darbi, piegādes un sniegti pakalpojumi. Rezultātā veiktie izdevumi tiek atzīti par neatbilstoši veiktiem, piemērota korekcija un turpmākie maksājumi tiek pieļauti tikai tad, kad tiek novērsti trūkumi iestādes vadības un kontroles sistēmā attiecībā uz pārbaudēm projektu īstenošanas vietās.</w:t>
            </w:r>
          </w:p>
        </w:tc>
        <w:tc>
          <w:tcPr>
            <w:tcW w:w="916" w:type="pct"/>
          </w:tcPr>
          <w:p w14:paraId="5A2FF516" w14:textId="77777777" w:rsidR="00810144" w:rsidRPr="009D07C7" w:rsidRDefault="009F08D7" w:rsidP="00E65D59">
            <w:pPr>
              <w:jc w:val="center"/>
              <w:rPr>
                <w:sz w:val="22"/>
                <w:szCs w:val="22"/>
              </w:rPr>
            </w:pPr>
            <w:r w:rsidRPr="009D07C7">
              <w:rPr>
                <w:sz w:val="22"/>
                <w:szCs w:val="22"/>
              </w:rPr>
              <w:t>25%</w:t>
            </w:r>
          </w:p>
        </w:tc>
      </w:tr>
      <w:tr w:rsidR="00810144" w:rsidRPr="009D07C7" w14:paraId="1BF40848" w14:textId="77777777" w:rsidTr="00563EE9">
        <w:tc>
          <w:tcPr>
            <w:tcW w:w="276" w:type="pct"/>
          </w:tcPr>
          <w:p w14:paraId="59413D57" w14:textId="77777777" w:rsidR="00810144" w:rsidRPr="009D07C7" w:rsidRDefault="00810144" w:rsidP="00E65D59">
            <w:pPr>
              <w:numPr>
                <w:ilvl w:val="0"/>
                <w:numId w:val="1"/>
              </w:numPr>
              <w:rPr>
                <w:sz w:val="22"/>
                <w:szCs w:val="22"/>
              </w:rPr>
            </w:pPr>
          </w:p>
        </w:tc>
        <w:tc>
          <w:tcPr>
            <w:tcW w:w="1726" w:type="pct"/>
          </w:tcPr>
          <w:p w14:paraId="36DB2386" w14:textId="77777777" w:rsidR="00810144" w:rsidRPr="009D07C7" w:rsidRDefault="00A764EF" w:rsidP="007C2629">
            <w:pPr>
              <w:jc w:val="both"/>
              <w:rPr>
                <w:sz w:val="22"/>
                <w:szCs w:val="22"/>
              </w:rPr>
            </w:pPr>
            <w:r w:rsidRPr="00654481">
              <w:rPr>
                <w:sz w:val="22"/>
                <w:szCs w:val="22"/>
              </w:rPr>
              <w:t xml:space="preserve">Ja </w:t>
            </w:r>
            <w:r w:rsidRPr="00654481">
              <w:rPr>
                <w:b/>
                <w:sz w:val="22"/>
                <w:szCs w:val="22"/>
              </w:rPr>
              <w:t>viens vai vairāki sistēmas elementi nedarbojas</w:t>
            </w:r>
            <w:r w:rsidRPr="00654481">
              <w:rPr>
                <w:sz w:val="22"/>
                <w:szCs w:val="22"/>
              </w:rPr>
              <w:t xml:space="preserve"> </w:t>
            </w:r>
            <w:r w:rsidRPr="00654481">
              <w:rPr>
                <w:b/>
                <w:sz w:val="22"/>
                <w:szCs w:val="22"/>
              </w:rPr>
              <w:t>vai darbojas tik slikti un tik neregulāri, ka tie kļūst pilnīgi neefektīvi</w:t>
            </w:r>
            <w:r w:rsidRPr="00654481">
              <w:rPr>
                <w:sz w:val="22"/>
                <w:szCs w:val="22"/>
              </w:rPr>
              <w:t>,</w:t>
            </w:r>
            <w:r w:rsidRPr="009D07C7">
              <w:rPr>
                <w:sz w:val="22"/>
                <w:szCs w:val="22"/>
              </w:rPr>
              <w:t xml:space="preserve"> lai noteiktu maksājuma pieprasījuma pamatotību un novērstu neatbilstību,</w:t>
            </w:r>
            <w:r w:rsidR="007A1014">
              <w:rPr>
                <w:sz w:val="22"/>
                <w:szCs w:val="22"/>
              </w:rPr>
              <w:t xml:space="preserve"> piemērojama </w:t>
            </w:r>
            <w:r w:rsidRPr="009D07C7">
              <w:rPr>
                <w:sz w:val="22"/>
                <w:szCs w:val="22"/>
              </w:rPr>
              <w:t>korekcija 10% apmērā, ja var pamatoti secināt, ka pastāv liels risks, ka fondiem tiks nodarīti ievērojami zaudējumi.</w:t>
            </w:r>
          </w:p>
        </w:tc>
        <w:tc>
          <w:tcPr>
            <w:tcW w:w="2082" w:type="pct"/>
            <w:gridSpan w:val="2"/>
          </w:tcPr>
          <w:p w14:paraId="0FEE9B42" w14:textId="77777777" w:rsidR="00810144" w:rsidRPr="009D07C7" w:rsidRDefault="00A764EF" w:rsidP="00E65D59">
            <w:pPr>
              <w:jc w:val="both"/>
              <w:rPr>
                <w:sz w:val="22"/>
                <w:szCs w:val="22"/>
              </w:rPr>
            </w:pPr>
            <w:r w:rsidRPr="009D07C7">
              <w:rPr>
                <w:sz w:val="22"/>
                <w:szCs w:val="22"/>
              </w:rPr>
              <w:t>Pārbaudes projektu īstenošanas vietās netiek pārbaudīti atsevišķi jautājumi, par ko pārbaudes veicējam ir jāpārliecinās, veicot šīs pārbaudes. Piemēram, publiskā iepirkuma prasības, atbilstība normatīvo aktu prasībām grāmatvedības jomā, u.c.</w:t>
            </w:r>
          </w:p>
        </w:tc>
        <w:tc>
          <w:tcPr>
            <w:tcW w:w="916" w:type="pct"/>
          </w:tcPr>
          <w:p w14:paraId="4FC6E2B5" w14:textId="77777777" w:rsidR="00810144" w:rsidRPr="009D07C7" w:rsidRDefault="00A764EF" w:rsidP="00E65D59">
            <w:pPr>
              <w:jc w:val="center"/>
              <w:rPr>
                <w:sz w:val="22"/>
                <w:szCs w:val="22"/>
              </w:rPr>
            </w:pPr>
            <w:r w:rsidRPr="009D07C7">
              <w:rPr>
                <w:sz w:val="22"/>
                <w:szCs w:val="22"/>
              </w:rPr>
              <w:t>10%</w:t>
            </w:r>
          </w:p>
        </w:tc>
      </w:tr>
      <w:tr w:rsidR="00810144" w:rsidRPr="009D07C7" w14:paraId="0E4115A3" w14:textId="77777777" w:rsidTr="00563EE9">
        <w:tc>
          <w:tcPr>
            <w:tcW w:w="276" w:type="pct"/>
          </w:tcPr>
          <w:p w14:paraId="7BEE736A" w14:textId="77777777" w:rsidR="00810144" w:rsidRPr="009D07C7" w:rsidRDefault="00810144" w:rsidP="00E65D59">
            <w:pPr>
              <w:numPr>
                <w:ilvl w:val="0"/>
                <w:numId w:val="1"/>
              </w:numPr>
              <w:rPr>
                <w:sz w:val="22"/>
                <w:szCs w:val="22"/>
              </w:rPr>
            </w:pPr>
          </w:p>
        </w:tc>
        <w:tc>
          <w:tcPr>
            <w:tcW w:w="1726" w:type="pct"/>
          </w:tcPr>
          <w:p w14:paraId="05CEB1BB" w14:textId="77777777" w:rsidR="00810144" w:rsidRPr="009D07C7" w:rsidRDefault="00A764EF" w:rsidP="007C2629">
            <w:pPr>
              <w:jc w:val="both"/>
              <w:rPr>
                <w:sz w:val="22"/>
                <w:szCs w:val="22"/>
              </w:rPr>
            </w:pPr>
            <w:r w:rsidRPr="009D07C7">
              <w:rPr>
                <w:sz w:val="22"/>
                <w:szCs w:val="22"/>
              </w:rPr>
              <w:t xml:space="preserve">Ja visi sistēmas pamatelementi darbojas, bet to </w:t>
            </w:r>
            <w:r w:rsidRPr="00654481">
              <w:rPr>
                <w:b/>
                <w:sz w:val="22"/>
                <w:szCs w:val="22"/>
              </w:rPr>
              <w:t xml:space="preserve">darbība neatbilst atbilstošajos tiesību aktos </w:t>
            </w:r>
            <w:r w:rsidRPr="00654481">
              <w:rPr>
                <w:b/>
                <w:sz w:val="22"/>
                <w:szCs w:val="22"/>
              </w:rPr>
              <w:lastRenderedPageBreak/>
              <w:t>paredzētajai konsekvencei, biežumam vai intensitātei</w:t>
            </w:r>
            <w:r w:rsidRPr="00654481">
              <w:rPr>
                <w:sz w:val="22"/>
                <w:szCs w:val="22"/>
              </w:rPr>
              <w:t xml:space="preserve">, </w:t>
            </w:r>
            <w:r w:rsidR="007A1014">
              <w:rPr>
                <w:sz w:val="22"/>
                <w:szCs w:val="22"/>
              </w:rPr>
              <w:t>piemērojama</w:t>
            </w:r>
            <w:r w:rsidRPr="00654481">
              <w:rPr>
                <w:sz w:val="22"/>
                <w:szCs w:val="22"/>
              </w:rPr>
              <w:t xml:space="preserve"> korekcija 5% apmērā, jo var pamatoti secināt, ka tie nespēj pietiekami nodrošināt maksājumu</w:t>
            </w:r>
            <w:r w:rsidRPr="009D07C7">
              <w:rPr>
                <w:sz w:val="22"/>
                <w:szCs w:val="22"/>
              </w:rPr>
              <w:t xml:space="preserve"> pieprasījumu likumību, un fondi tiek pakļauti ievērojamam riskam. </w:t>
            </w:r>
          </w:p>
        </w:tc>
        <w:tc>
          <w:tcPr>
            <w:tcW w:w="2082" w:type="pct"/>
            <w:gridSpan w:val="2"/>
          </w:tcPr>
          <w:p w14:paraId="65850F19" w14:textId="77777777" w:rsidR="00810144" w:rsidRPr="009D07C7" w:rsidRDefault="00A764EF" w:rsidP="008B7773">
            <w:pPr>
              <w:jc w:val="both"/>
              <w:rPr>
                <w:sz w:val="22"/>
                <w:szCs w:val="22"/>
              </w:rPr>
            </w:pPr>
            <w:r w:rsidRPr="009D07C7">
              <w:rPr>
                <w:sz w:val="22"/>
                <w:szCs w:val="22"/>
              </w:rPr>
              <w:lastRenderedPageBreak/>
              <w:t xml:space="preserve">Pārbaudes projektu īstenošanas vietās tiek veiktas, bet ne atbilstoši normatīvajos aktos </w:t>
            </w:r>
            <w:r w:rsidR="008B7773" w:rsidRPr="009D07C7">
              <w:rPr>
                <w:sz w:val="22"/>
                <w:szCs w:val="22"/>
              </w:rPr>
              <w:t>noteiktaj</w:t>
            </w:r>
            <w:r w:rsidR="008B7773">
              <w:rPr>
                <w:sz w:val="22"/>
                <w:szCs w:val="22"/>
              </w:rPr>
              <w:t>ai</w:t>
            </w:r>
            <w:r w:rsidR="008B7773" w:rsidRPr="009D07C7">
              <w:rPr>
                <w:sz w:val="22"/>
                <w:szCs w:val="22"/>
              </w:rPr>
              <w:t xml:space="preserve"> kārtī</w:t>
            </w:r>
            <w:r w:rsidR="004B63B0">
              <w:rPr>
                <w:sz w:val="22"/>
                <w:szCs w:val="22"/>
              </w:rPr>
              <w:t>b</w:t>
            </w:r>
            <w:r w:rsidR="008B7773">
              <w:rPr>
                <w:sz w:val="22"/>
                <w:szCs w:val="22"/>
              </w:rPr>
              <w:t>ai</w:t>
            </w:r>
            <w:r w:rsidRPr="009D07C7">
              <w:rPr>
                <w:sz w:val="22"/>
                <w:szCs w:val="22"/>
              </w:rPr>
              <w:t xml:space="preserve">, piemēram, nav veikts risku </w:t>
            </w:r>
            <w:r w:rsidRPr="009D07C7">
              <w:rPr>
                <w:sz w:val="22"/>
                <w:szCs w:val="22"/>
              </w:rPr>
              <w:lastRenderedPageBreak/>
              <w:t>izvērtējums, lai nodrošinātu atbilstošu izlasi pārbaudēm projektu īstenošanas vietās.</w:t>
            </w:r>
          </w:p>
        </w:tc>
        <w:tc>
          <w:tcPr>
            <w:tcW w:w="916" w:type="pct"/>
          </w:tcPr>
          <w:p w14:paraId="3CA12CD1" w14:textId="77777777" w:rsidR="00810144" w:rsidRPr="009D07C7" w:rsidRDefault="00A764EF" w:rsidP="00E65D59">
            <w:pPr>
              <w:jc w:val="center"/>
              <w:rPr>
                <w:sz w:val="22"/>
                <w:szCs w:val="22"/>
              </w:rPr>
            </w:pPr>
            <w:r w:rsidRPr="009D07C7">
              <w:rPr>
                <w:sz w:val="22"/>
                <w:szCs w:val="22"/>
              </w:rPr>
              <w:lastRenderedPageBreak/>
              <w:t>5%</w:t>
            </w:r>
          </w:p>
        </w:tc>
      </w:tr>
      <w:tr w:rsidR="00810144" w:rsidRPr="009D07C7" w14:paraId="31B4DFFE" w14:textId="77777777" w:rsidTr="00563EE9">
        <w:tc>
          <w:tcPr>
            <w:tcW w:w="276" w:type="pct"/>
            <w:tcBorders>
              <w:bottom w:val="single" w:sz="4" w:space="0" w:color="auto"/>
            </w:tcBorders>
          </w:tcPr>
          <w:p w14:paraId="71E7BB2B" w14:textId="77777777" w:rsidR="00810144" w:rsidRPr="009D07C7" w:rsidRDefault="00810144" w:rsidP="00E65D59">
            <w:pPr>
              <w:numPr>
                <w:ilvl w:val="0"/>
                <w:numId w:val="1"/>
              </w:numPr>
              <w:rPr>
                <w:sz w:val="22"/>
                <w:szCs w:val="22"/>
              </w:rPr>
            </w:pPr>
          </w:p>
        </w:tc>
        <w:tc>
          <w:tcPr>
            <w:tcW w:w="1726" w:type="pct"/>
            <w:tcBorders>
              <w:bottom w:val="single" w:sz="4" w:space="0" w:color="auto"/>
            </w:tcBorders>
          </w:tcPr>
          <w:p w14:paraId="62046039" w14:textId="77777777" w:rsidR="00810144" w:rsidRPr="009D07C7" w:rsidRDefault="00A764EF" w:rsidP="007C2629">
            <w:pPr>
              <w:jc w:val="both"/>
              <w:rPr>
                <w:sz w:val="22"/>
                <w:szCs w:val="22"/>
              </w:rPr>
            </w:pPr>
            <w:r w:rsidRPr="009D07C7">
              <w:rPr>
                <w:sz w:val="22"/>
                <w:szCs w:val="22"/>
              </w:rPr>
              <w:t xml:space="preserve">Ja sistēmas pamatelementi darbojas pienācīgi, bet </w:t>
            </w:r>
            <w:r w:rsidRPr="00654481">
              <w:rPr>
                <w:b/>
                <w:sz w:val="22"/>
                <w:szCs w:val="22"/>
              </w:rPr>
              <w:t>viena vai vairāku palīgelementu darbība ir traucēta</w:t>
            </w:r>
            <w:r w:rsidRPr="00654481">
              <w:rPr>
                <w:sz w:val="22"/>
                <w:szCs w:val="22"/>
              </w:rPr>
              <w:t xml:space="preserve">, </w:t>
            </w:r>
            <w:r w:rsidR="007A1014">
              <w:rPr>
                <w:sz w:val="22"/>
                <w:szCs w:val="22"/>
              </w:rPr>
              <w:t xml:space="preserve">piemērojama </w:t>
            </w:r>
            <w:r w:rsidRPr="00654481">
              <w:rPr>
                <w:sz w:val="22"/>
                <w:szCs w:val="22"/>
              </w:rPr>
              <w:t>korekcija 2% apmērā, ņemot vērā to, ka fondi tiek pakļauti mazākam zaudējumu riskam un novērotās</w:t>
            </w:r>
            <w:r w:rsidRPr="009D07C7">
              <w:rPr>
                <w:sz w:val="22"/>
                <w:szCs w:val="22"/>
              </w:rPr>
              <w:t xml:space="preserve"> neatbilstības nav būtiskas.</w:t>
            </w:r>
          </w:p>
        </w:tc>
        <w:tc>
          <w:tcPr>
            <w:tcW w:w="2082" w:type="pct"/>
            <w:gridSpan w:val="2"/>
            <w:tcBorders>
              <w:bottom w:val="single" w:sz="4" w:space="0" w:color="auto"/>
            </w:tcBorders>
          </w:tcPr>
          <w:p w14:paraId="5CEC516F" w14:textId="77777777" w:rsidR="001D176A" w:rsidRPr="009D07C7" w:rsidRDefault="00A764EF" w:rsidP="00654481">
            <w:pPr>
              <w:jc w:val="both"/>
              <w:rPr>
                <w:sz w:val="22"/>
                <w:szCs w:val="22"/>
              </w:rPr>
            </w:pPr>
            <w:r w:rsidRPr="009D07C7">
              <w:rPr>
                <w:sz w:val="22"/>
                <w:szCs w:val="22"/>
              </w:rPr>
              <w:t xml:space="preserve">Kontrolēs sistemātiski netiek izmantotas pārbaudes lapas (ja paredzēts izmantot) vai arī netiek pienācīgi dokumentēti kontroļu rezultāti. Maksājumu pieprasījumu pārbaudes procesā tiek atklāti nebūtiski trūkumi, kas var ietekmēt maksājumu atbilstošu apstiprināšanu, tādejādi arī ES fondu izlietojumu. </w:t>
            </w:r>
          </w:p>
        </w:tc>
        <w:tc>
          <w:tcPr>
            <w:tcW w:w="916" w:type="pct"/>
            <w:tcBorders>
              <w:bottom w:val="single" w:sz="4" w:space="0" w:color="auto"/>
            </w:tcBorders>
          </w:tcPr>
          <w:p w14:paraId="70FCEA49" w14:textId="77777777" w:rsidR="00810144" w:rsidRPr="009D07C7" w:rsidRDefault="00A764EF" w:rsidP="00E65D59">
            <w:pPr>
              <w:jc w:val="center"/>
              <w:rPr>
                <w:sz w:val="22"/>
                <w:szCs w:val="22"/>
              </w:rPr>
            </w:pPr>
            <w:r w:rsidRPr="009D07C7">
              <w:rPr>
                <w:sz w:val="22"/>
                <w:szCs w:val="22"/>
              </w:rPr>
              <w:t>2%</w:t>
            </w:r>
          </w:p>
        </w:tc>
      </w:tr>
      <w:tr w:rsidR="00DD563F" w:rsidRPr="009D07C7" w14:paraId="78602C54" w14:textId="77777777" w:rsidTr="00563EE9">
        <w:tc>
          <w:tcPr>
            <w:tcW w:w="5000" w:type="pct"/>
            <w:gridSpan w:val="5"/>
            <w:shd w:val="clear" w:color="auto" w:fill="C0C0C0"/>
          </w:tcPr>
          <w:p w14:paraId="0301D54A" w14:textId="77777777" w:rsidR="00DD563F" w:rsidRPr="009D07C7" w:rsidRDefault="00DD563F" w:rsidP="00E65D59">
            <w:pPr>
              <w:jc w:val="center"/>
              <w:rPr>
                <w:b/>
                <w:sz w:val="22"/>
                <w:szCs w:val="22"/>
              </w:rPr>
            </w:pPr>
            <w:r w:rsidRPr="009D07C7">
              <w:rPr>
                <w:b/>
                <w:sz w:val="22"/>
                <w:szCs w:val="22"/>
              </w:rPr>
              <w:t>Projekta līmenis</w:t>
            </w:r>
          </w:p>
        </w:tc>
      </w:tr>
      <w:tr w:rsidR="00DD563F" w:rsidRPr="009D07C7" w14:paraId="645EFD9B" w14:textId="77777777" w:rsidTr="00E569DC">
        <w:tc>
          <w:tcPr>
            <w:tcW w:w="276" w:type="pct"/>
          </w:tcPr>
          <w:p w14:paraId="1C91986B" w14:textId="77777777" w:rsidR="00DD563F" w:rsidRPr="009D07C7" w:rsidRDefault="00DD563F" w:rsidP="00E65D59">
            <w:pPr>
              <w:numPr>
                <w:ilvl w:val="0"/>
                <w:numId w:val="1"/>
              </w:numPr>
              <w:rPr>
                <w:sz w:val="22"/>
                <w:szCs w:val="22"/>
              </w:rPr>
            </w:pPr>
          </w:p>
        </w:tc>
        <w:tc>
          <w:tcPr>
            <w:tcW w:w="1726" w:type="pct"/>
          </w:tcPr>
          <w:p w14:paraId="1890FBB1" w14:textId="77777777" w:rsidR="00DD563F" w:rsidRPr="00654481" w:rsidRDefault="004830C4" w:rsidP="00847D71">
            <w:pPr>
              <w:jc w:val="both"/>
              <w:rPr>
                <w:b/>
                <w:sz w:val="22"/>
                <w:szCs w:val="22"/>
              </w:rPr>
            </w:pPr>
            <w:r w:rsidRPr="00654481">
              <w:rPr>
                <w:b/>
                <w:sz w:val="22"/>
                <w:szCs w:val="22"/>
              </w:rPr>
              <w:t>Projekta mērķa</w:t>
            </w:r>
            <w:r w:rsidR="00A60BA4">
              <w:rPr>
                <w:b/>
                <w:sz w:val="22"/>
                <w:szCs w:val="22"/>
              </w:rPr>
              <w:t xml:space="preserve"> sasniegšana</w:t>
            </w:r>
          </w:p>
          <w:p w14:paraId="0D147F55" w14:textId="77777777" w:rsidR="00DD563F" w:rsidRPr="009D07C7" w:rsidRDefault="00DD563F" w:rsidP="007A0800">
            <w:pPr>
              <w:rPr>
                <w:sz w:val="22"/>
                <w:szCs w:val="22"/>
              </w:rPr>
            </w:pPr>
            <w:r w:rsidRPr="009D07C7">
              <w:rPr>
                <w:sz w:val="22"/>
                <w:szCs w:val="22"/>
              </w:rPr>
              <w:t>Projekta mērķis nav sasniegts</w:t>
            </w:r>
          </w:p>
          <w:p w14:paraId="6665A509" w14:textId="77777777" w:rsidR="00DD563F" w:rsidRPr="009D07C7" w:rsidRDefault="00DD563F" w:rsidP="00E65D59">
            <w:pPr>
              <w:rPr>
                <w:sz w:val="22"/>
                <w:szCs w:val="22"/>
              </w:rPr>
            </w:pPr>
          </w:p>
          <w:p w14:paraId="64793D35" w14:textId="77777777" w:rsidR="00DD563F" w:rsidRPr="009D07C7" w:rsidRDefault="00DD563F" w:rsidP="00E65D59">
            <w:pPr>
              <w:rPr>
                <w:sz w:val="22"/>
                <w:szCs w:val="22"/>
              </w:rPr>
            </w:pPr>
          </w:p>
          <w:p w14:paraId="1A2E0C86" w14:textId="77777777" w:rsidR="00DD563F" w:rsidRPr="009D07C7" w:rsidRDefault="00DD563F" w:rsidP="00E65D59">
            <w:pPr>
              <w:rPr>
                <w:sz w:val="22"/>
                <w:szCs w:val="22"/>
              </w:rPr>
            </w:pPr>
          </w:p>
          <w:p w14:paraId="73A3243A" w14:textId="77777777" w:rsidR="00DD563F" w:rsidRPr="009D07C7" w:rsidRDefault="00DD563F" w:rsidP="00E65D59">
            <w:pPr>
              <w:rPr>
                <w:sz w:val="22"/>
                <w:szCs w:val="22"/>
              </w:rPr>
            </w:pPr>
          </w:p>
          <w:p w14:paraId="54B1C413" w14:textId="77777777" w:rsidR="00DD563F" w:rsidRPr="009D07C7" w:rsidRDefault="00DD563F" w:rsidP="00E65D59">
            <w:pPr>
              <w:rPr>
                <w:sz w:val="22"/>
                <w:szCs w:val="22"/>
              </w:rPr>
            </w:pPr>
          </w:p>
          <w:p w14:paraId="42BBE23F" w14:textId="77777777" w:rsidR="00DD563F" w:rsidRPr="009D07C7" w:rsidRDefault="00DD563F" w:rsidP="00E65D59">
            <w:pPr>
              <w:rPr>
                <w:sz w:val="22"/>
                <w:szCs w:val="22"/>
              </w:rPr>
            </w:pPr>
          </w:p>
          <w:p w14:paraId="3CE36075" w14:textId="77777777" w:rsidR="00DD563F" w:rsidRPr="009D07C7" w:rsidRDefault="00DD563F" w:rsidP="00E65D59">
            <w:pPr>
              <w:rPr>
                <w:sz w:val="22"/>
                <w:szCs w:val="22"/>
              </w:rPr>
            </w:pPr>
          </w:p>
          <w:p w14:paraId="79F82C9C" w14:textId="77777777" w:rsidR="00DD563F" w:rsidRPr="009D07C7" w:rsidRDefault="00DD563F" w:rsidP="00E65D59">
            <w:pPr>
              <w:rPr>
                <w:sz w:val="22"/>
                <w:szCs w:val="22"/>
              </w:rPr>
            </w:pPr>
          </w:p>
          <w:p w14:paraId="40D46125" w14:textId="77777777" w:rsidR="00DD563F" w:rsidRPr="009D07C7" w:rsidRDefault="00DD563F" w:rsidP="00E65D59">
            <w:pPr>
              <w:rPr>
                <w:sz w:val="22"/>
                <w:szCs w:val="22"/>
              </w:rPr>
            </w:pPr>
          </w:p>
          <w:p w14:paraId="2E9FA7AD" w14:textId="77777777" w:rsidR="00DD563F" w:rsidRPr="009D07C7" w:rsidRDefault="00DD563F" w:rsidP="00E65D59">
            <w:pPr>
              <w:rPr>
                <w:sz w:val="22"/>
                <w:szCs w:val="22"/>
              </w:rPr>
            </w:pPr>
          </w:p>
          <w:p w14:paraId="3DF06C84" w14:textId="77777777" w:rsidR="00DD563F" w:rsidRPr="009D07C7" w:rsidRDefault="00DD563F" w:rsidP="00E65D59">
            <w:pPr>
              <w:rPr>
                <w:sz w:val="22"/>
                <w:szCs w:val="22"/>
              </w:rPr>
            </w:pPr>
          </w:p>
          <w:p w14:paraId="4B7FE788" w14:textId="77777777" w:rsidR="00DD563F" w:rsidRPr="009D07C7" w:rsidRDefault="00DD563F" w:rsidP="00E65D59">
            <w:pPr>
              <w:rPr>
                <w:sz w:val="22"/>
                <w:szCs w:val="22"/>
              </w:rPr>
            </w:pPr>
          </w:p>
          <w:p w14:paraId="04E2359C" w14:textId="77777777" w:rsidR="00DD563F" w:rsidRPr="009D07C7" w:rsidRDefault="00DD563F" w:rsidP="00E65D59">
            <w:pPr>
              <w:rPr>
                <w:sz w:val="22"/>
                <w:szCs w:val="22"/>
              </w:rPr>
            </w:pPr>
          </w:p>
          <w:p w14:paraId="752F560B" w14:textId="77777777" w:rsidR="00DD563F" w:rsidRPr="009D07C7" w:rsidRDefault="00DD563F" w:rsidP="00E65D59">
            <w:pPr>
              <w:rPr>
                <w:sz w:val="22"/>
                <w:szCs w:val="22"/>
              </w:rPr>
            </w:pPr>
          </w:p>
          <w:p w14:paraId="3404E2ED" w14:textId="77777777" w:rsidR="00DD563F" w:rsidRPr="009D07C7" w:rsidRDefault="00DD563F" w:rsidP="00E65D59">
            <w:pPr>
              <w:rPr>
                <w:sz w:val="22"/>
                <w:szCs w:val="22"/>
              </w:rPr>
            </w:pPr>
          </w:p>
          <w:p w14:paraId="3A826C8C" w14:textId="77777777" w:rsidR="00DD563F" w:rsidRPr="009D07C7" w:rsidRDefault="00DD563F" w:rsidP="00E65D59">
            <w:pPr>
              <w:rPr>
                <w:sz w:val="22"/>
                <w:szCs w:val="22"/>
              </w:rPr>
            </w:pPr>
          </w:p>
          <w:p w14:paraId="388B1785" w14:textId="77777777" w:rsidR="00DD563F" w:rsidRPr="009D07C7" w:rsidRDefault="00DD563F" w:rsidP="00E65D59">
            <w:pPr>
              <w:rPr>
                <w:sz w:val="22"/>
                <w:szCs w:val="22"/>
              </w:rPr>
            </w:pPr>
          </w:p>
          <w:p w14:paraId="4B1208EE" w14:textId="77777777" w:rsidR="00DD563F" w:rsidRPr="009D07C7" w:rsidRDefault="00DD563F" w:rsidP="00E65D59">
            <w:pPr>
              <w:rPr>
                <w:sz w:val="22"/>
                <w:szCs w:val="22"/>
              </w:rPr>
            </w:pPr>
          </w:p>
          <w:p w14:paraId="0DED7478" w14:textId="77777777" w:rsidR="00DD563F" w:rsidRPr="009D07C7" w:rsidRDefault="00DD563F" w:rsidP="00E65D59">
            <w:pPr>
              <w:rPr>
                <w:sz w:val="22"/>
                <w:szCs w:val="22"/>
              </w:rPr>
            </w:pPr>
          </w:p>
          <w:p w14:paraId="6999E98C" w14:textId="77777777" w:rsidR="00DD563F" w:rsidRPr="009D07C7" w:rsidRDefault="00DD563F" w:rsidP="00E65D59">
            <w:pPr>
              <w:rPr>
                <w:sz w:val="22"/>
                <w:szCs w:val="22"/>
              </w:rPr>
            </w:pPr>
          </w:p>
          <w:p w14:paraId="50A1846A" w14:textId="77777777" w:rsidR="00DD563F" w:rsidRPr="009D07C7" w:rsidRDefault="00DD563F" w:rsidP="00E65D59">
            <w:pPr>
              <w:rPr>
                <w:sz w:val="22"/>
                <w:szCs w:val="22"/>
              </w:rPr>
            </w:pPr>
          </w:p>
          <w:p w14:paraId="5F61A734" w14:textId="77777777" w:rsidR="00DD563F" w:rsidRPr="009D07C7" w:rsidRDefault="00DD563F" w:rsidP="00E65D59">
            <w:pPr>
              <w:rPr>
                <w:sz w:val="22"/>
                <w:szCs w:val="22"/>
              </w:rPr>
            </w:pPr>
          </w:p>
          <w:p w14:paraId="405867C8" w14:textId="77777777" w:rsidR="00DD563F" w:rsidRPr="009D07C7" w:rsidRDefault="00DD563F" w:rsidP="00E65D59">
            <w:pPr>
              <w:rPr>
                <w:sz w:val="22"/>
                <w:szCs w:val="22"/>
              </w:rPr>
            </w:pPr>
          </w:p>
          <w:p w14:paraId="1A924118" w14:textId="77777777" w:rsidR="00DD563F" w:rsidRPr="009D07C7" w:rsidRDefault="00DD563F" w:rsidP="00E65D59">
            <w:pPr>
              <w:rPr>
                <w:sz w:val="22"/>
                <w:szCs w:val="22"/>
              </w:rPr>
            </w:pPr>
          </w:p>
          <w:p w14:paraId="77D7FC99" w14:textId="77777777" w:rsidR="00DD563F" w:rsidRPr="009D07C7" w:rsidRDefault="00DD563F" w:rsidP="00E65D59">
            <w:pPr>
              <w:rPr>
                <w:sz w:val="22"/>
                <w:szCs w:val="22"/>
              </w:rPr>
            </w:pPr>
          </w:p>
          <w:p w14:paraId="34027357" w14:textId="77777777" w:rsidR="00DD563F" w:rsidRPr="009D07C7" w:rsidRDefault="00DD563F" w:rsidP="00E65D59">
            <w:pPr>
              <w:rPr>
                <w:sz w:val="22"/>
                <w:szCs w:val="22"/>
              </w:rPr>
            </w:pPr>
          </w:p>
          <w:p w14:paraId="5D0FB0E3" w14:textId="77777777" w:rsidR="00DD563F" w:rsidRPr="009D07C7" w:rsidRDefault="00DD563F" w:rsidP="00E65D59">
            <w:pPr>
              <w:numPr>
                <w:ilvl w:val="0"/>
                <w:numId w:val="2"/>
              </w:numPr>
              <w:ind w:left="0"/>
              <w:jc w:val="both"/>
              <w:rPr>
                <w:sz w:val="22"/>
                <w:szCs w:val="22"/>
              </w:rPr>
            </w:pPr>
          </w:p>
        </w:tc>
        <w:tc>
          <w:tcPr>
            <w:tcW w:w="2061" w:type="pct"/>
          </w:tcPr>
          <w:p w14:paraId="3E01DDF7" w14:textId="77777777" w:rsidR="006103A7" w:rsidRDefault="00EE79A9" w:rsidP="00E65D59">
            <w:pPr>
              <w:jc w:val="both"/>
              <w:rPr>
                <w:sz w:val="22"/>
                <w:szCs w:val="22"/>
              </w:rPr>
            </w:pPr>
            <w:r w:rsidRPr="009D07C7">
              <w:rPr>
                <w:sz w:val="22"/>
                <w:szCs w:val="22"/>
              </w:rPr>
              <w:lastRenderedPageBreak/>
              <w:t>1a) Projekta mērķis</w:t>
            </w:r>
            <w:r w:rsidR="006103A7">
              <w:rPr>
                <w:sz w:val="22"/>
                <w:szCs w:val="22"/>
              </w:rPr>
              <w:t xml:space="preserve"> –</w:t>
            </w:r>
            <w:r w:rsidRPr="009D07C7">
              <w:rPr>
                <w:sz w:val="22"/>
                <w:szCs w:val="22"/>
              </w:rPr>
              <w:t xml:space="preserve"> </w:t>
            </w:r>
            <w:r w:rsidR="006103A7">
              <w:rPr>
                <w:sz w:val="22"/>
                <w:szCs w:val="22"/>
              </w:rPr>
              <w:t>veicināt lauku apvidus iedzīvotāju sabiedrisko aktivitāti, izveidojot atbilstošas telpas sabiedrisku pasākumu organizēšanai. Pārbaudē uz vietas tiek konstatēts, ka projektā izveidotās telpas netiek izmantotas sākotnēji paredzētajiem mērķiem. L</w:t>
            </w:r>
            <w:r w:rsidR="006103A7" w:rsidRPr="006103A7">
              <w:rPr>
                <w:sz w:val="22"/>
                <w:szCs w:val="22"/>
              </w:rPr>
              <w:t>īdz ar to projekta mērķis nevar tikt uzskatīts par sasniegtu.</w:t>
            </w:r>
          </w:p>
          <w:p w14:paraId="68AD1CFA" w14:textId="77777777" w:rsidR="006103A7" w:rsidRDefault="006103A7" w:rsidP="00E65D59">
            <w:pPr>
              <w:jc w:val="both"/>
              <w:rPr>
                <w:sz w:val="22"/>
                <w:szCs w:val="22"/>
              </w:rPr>
            </w:pPr>
          </w:p>
          <w:p w14:paraId="543D9144" w14:textId="77777777" w:rsidR="00EE79A9" w:rsidRPr="009D07C7" w:rsidRDefault="00EE79A9" w:rsidP="00E65D59">
            <w:pPr>
              <w:jc w:val="both"/>
              <w:rPr>
                <w:sz w:val="22"/>
                <w:szCs w:val="22"/>
              </w:rPr>
            </w:pPr>
            <w:r w:rsidRPr="009D07C7">
              <w:rPr>
                <w:sz w:val="22"/>
                <w:szCs w:val="22"/>
              </w:rPr>
              <w:t>2a)</w:t>
            </w:r>
            <w:r w:rsidR="005A0F88">
              <w:rPr>
                <w:sz w:val="22"/>
                <w:szCs w:val="22"/>
              </w:rPr>
              <w:t xml:space="preserve"> </w:t>
            </w:r>
            <w:r w:rsidRPr="009D07C7">
              <w:rPr>
                <w:sz w:val="22"/>
                <w:szCs w:val="22"/>
              </w:rPr>
              <w:t xml:space="preserve">Projekta ietvaros tiek veikta darba tirgus uzraudzības un īstermiņa prognozēšanas metodikas izstrāde un sistēmas izveide, kas ļaus iegūt datus darba tirgus analīzei. Izmantojot izstrādāto metodiku, projekta ietvaros tiks iegūti dati un sagatavoti kopumā 25 pētījumi. Tā kā projektā plānotās </w:t>
            </w:r>
            <w:r w:rsidR="008B7773">
              <w:rPr>
                <w:sz w:val="22"/>
                <w:szCs w:val="22"/>
              </w:rPr>
              <w:t>darbības</w:t>
            </w:r>
            <w:r w:rsidR="008B7773" w:rsidRPr="009D07C7">
              <w:rPr>
                <w:sz w:val="22"/>
                <w:szCs w:val="22"/>
              </w:rPr>
              <w:t xml:space="preserve"> </w:t>
            </w:r>
            <w:r w:rsidRPr="009D07C7">
              <w:rPr>
                <w:sz w:val="22"/>
                <w:szCs w:val="22"/>
              </w:rPr>
              <w:t xml:space="preserve">ir vērstas uz projekta mērķa grupu vajadzību apmierināšanu, t.i., lēmuma pieņemšanai nepieciešama detalizēta informācija par darba tirgu. Projektā ir nosacījums, ka kvalitatīvu lēmumu pieņemšanai ir nepieciešami visi 25 pētījumi, gadījumā, ja tiek, piemēram, sagatavoti tikai 10 pētījumi, </w:t>
            </w:r>
            <w:r w:rsidRPr="009D07C7">
              <w:rPr>
                <w:sz w:val="22"/>
                <w:szCs w:val="22"/>
                <w:u w:val="single"/>
              </w:rPr>
              <w:t>projekta mērķis netiks sasniegts</w:t>
            </w:r>
            <w:r w:rsidRPr="009D07C7">
              <w:rPr>
                <w:sz w:val="22"/>
                <w:szCs w:val="22"/>
              </w:rPr>
              <w:t xml:space="preserve"> un neatbilstoši veikti izdevumi būs visi projekta izdevumi, kas ir veikti līdz neatbilstības konstatēšanas brīdim.</w:t>
            </w:r>
          </w:p>
          <w:p w14:paraId="58FAAD80" w14:textId="77777777" w:rsidR="00EE79A9" w:rsidRPr="009D07C7" w:rsidRDefault="00EE79A9" w:rsidP="00E65D59">
            <w:pPr>
              <w:jc w:val="both"/>
              <w:rPr>
                <w:sz w:val="22"/>
                <w:szCs w:val="22"/>
              </w:rPr>
            </w:pPr>
          </w:p>
          <w:p w14:paraId="23DEF280" w14:textId="77777777" w:rsidR="00DD563F" w:rsidRPr="009D07C7" w:rsidRDefault="00F835CD" w:rsidP="00E65D59">
            <w:pPr>
              <w:jc w:val="both"/>
              <w:rPr>
                <w:sz w:val="22"/>
                <w:szCs w:val="22"/>
              </w:rPr>
            </w:pPr>
            <w:r>
              <w:rPr>
                <w:sz w:val="22"/>
                <w:szCs w:val="22"/>
              </w:rPr>
              <w:t>2</w:t>
            </w:r>
            <w:r w:rsidR="00EE79A9" w:rsidRPr="009D07C7">
              <w:rPr>
                <w:sz w:val="22"/>
                <w:szCs w:val="22"/>
              </w:rPr>
              <w:t xml:space="preserve">b) Projekta mērķis ir autoceļa posma būvniecība, kura posmu daļas ir 2 ceļi, 2 tilti un 5 pazemes pārejas. Pārbaudē projektu īstenošanas vietā projekta beigās tiek konstatēts, ka viens no </w:t>
            </w:r>
            <w:r w:rsidR="00EE79A9" w:rsidRPr="009D07C7">
              <w:rPr>
                <w:sz w:val="22"/>
                <w:szCs w:val="22"/>
              </w:rPr>
              <w:lastRenderedPageBreak/>
              <w:t>paredzētajiem ceļiem nav izbūvēts. Var uzskatīt, ka projekta mērķis sasniegts daļēji un ir piemērojama proporcionāla korekcija</w:t>
            </w:r>
            <w:r w:rsidR="00F863C9" w:rsidRPr="009D07C7">
              <w:rPr>
                <w:sz w:val="22"/>
                <w:szCs w:val="22"/>
              </w:rPr>
              <w:t xml:space="preserve"> no projekta attiecināmajām izmaksām, </w:t>
            </w:r>
            <w:r w:rsidR="00A10489" w:rsidRPr="009D07C7">
              <w:rPr>
                <w:sz w:val="22"/>
                <w:szCs w:val="22"/>
              </w:rPr>
              <w:t xml:space="preserve">vai arī gadījumos, kad neatbilstoši veikto izdevumu proporciju ir iespējams aprēķināt no konkrētām projekta atbalstāmo darbību izmaksu pozīcijām ņemot vērā ietekmi uz projekta mērķu sasniegšanu. </w:t>
            </w:r>
          </w:p>
        </w:tc>
        <w:tc>
          <w:tcPr>
            <w:tcW w:w="937" w:type="pct"/>
            <w:gridSpan w:val="2"/>
          </w:tcPr>
          <w:p w14:paraId="3B09DAAA" w14:textId="3625D97A" w:rsidR="00DD563F" w:rsidRPr="009D07C7" w:rsidRDefault="003F5406" w:rsidP="003F5406">
            <w:pPr>
              <w:rPr>
                <w:sz w:val="22"/>
                <w:szCs w:val="22"/>
              </w:rPr>
            </w:pPr>
            <w:r>
              <w:rPr>
                <w:sz w:val="22"/>
                <w:szCs w:val="22"/>
              </w:rPr>
              <w:lastRenderedPageBreak/>
              <w:t xml:space="preserve"> </w:t>
            </w:r>
            <w:r w:rsidR="00DD563F" w:rsidRPr="009D07C7">
              <w:rPr>
                <w:sz w:val="22"/>
                <w:szCs w:val="22"/>
              </w:rPr>
              <w:t>a) 100%</w:t>
            </w:r>
          </w:p>
          <w:p w14:paraId="04166E26" w14:textId="77777777" w:rsidR="00DD563F" w:rsidRPr="009D07C7" w:rsidRDefault="00DD563F" w:rsidP="00CD5B78">
            <w:pPr>
              <w:jc w:val="center"/>
              <w:rPr>
                <w:sz w:val="22"/>
                <w:szCs w:val="22"/>
              </w:rPr>
            </w:pPr>
          </w:p>
          <w:p w14:paraId="6B8C58BB" w14:textId="77777777" w:rsidR="00DD563F" w:rsidRPr="009D07C7" w:rsidRDefault="00DD563F" w:rsidP="00CD5B78">
            <w:pPr>
              <w:jc w:val="center"/>
              <w:rPr>
                <w:sz w:val="22"/>
                <w:szCs w:val="22"/>
              </w:rPr>
            </w:pPr>
          </w:p>
          <w:p w14:paraId="0234EF3B" w14:textId="77777777" w:rsidR="00DD563F" w:rsidRPr="009D07C7" w:rsidRDefault="00DD563F" w:rsidP="00CD5B78">
            <w:pPr>
              <w:jc w:val="center"/>
              <w:rPr>
                <w:sz w:val="22"/>
                <w:szCs w:val="22"/>
              </w:rPr>
            </w:pPr>
          </w:p>
          <w:p w14:paraId="43CA501F" w14:textId="77777777" w:rsidR="00DD563F" w:rsidRPr="009D07C7" w:rsidRDefault="00DD563F" w:rsidP="00CD5B78">
            <w:pPr>
              <w:jc w:val="center"/>
              <w:rPr>
                <w:sz w:val="22"/>
                <w:szCs w:val="22"/>
              </w:rPr>
            </w:pPr>
          </w:p>
          <w:p w14:paraId="43709D1D" w14:textId="77777777" w:rsidR="00DD563F" w:rsidRPr="009D07C7" w:rsidRDefault="00DD563F" w:rsidP="00CD5B78">
            <w:pPr>
              <w:jc w:val="center"/>
              <w:rPr>
                <w:sz w:val="22"/>
                <w:szCs w:val="22"/>
              </w:rPr>
            </w:pPr>
          </w:p>
          <w:p w14:paraId="524848EF" w14:textId="77777777" w:rsidR="00DD563F" w:rsidRPr="009D07C7" w:rsidRDefault="00DD563F" w:rsidP="00CD5B78">
            <w:pPr>
              <w:jc w:val="center"/>
              <w:rPr>
                <w:sz w:val="22"/>
                <w:szCs w:val="22"/>
              </w:rPr>
            </w:pPr>
          </w:p>
          <w:p w14:paraId="3A22EC24" w14:textId="77777777" w:rsidR="00DD563F" w:rsidRPr="009D07C7" w:rsidRDefault="00DD563F" w:rsidP="00CD5B78">
            <w:pPr>
              <w:jc w:val="center"/>
              <w:rPr>
                <w:sz w:val="22"/>
                <w:szCs w:val="22"/>
              </w:rPr>
            </w:pPr>
          </w:p>
          <w:p w14:paraId="68C9E975" w14:textId="77777777" w:rsidR="00DD563F" w:rsidRPr="009D07C7" w:rsidRDefault="00DD563F" w:rsidP="00CD5B78">
            <w:pPr>
              <w:jc w:val="center"/>
              <w:rPr>
                <w:sz w:val="22"/>
                <w:szCs w:val="22"/>
              </w:rPr>
            </w:pPr>
          </w:p>
          <w:p w14:paraId="250E192E" w14:textId="77777777" w:rsidR="00DD563F" w:rsidRPr="009D07C7" w:rsidRDefault="00DD563F" w:rsidP="00CD5B78">
            <w:pPr>
              <w:jc w:val="center"/>
              <w:rPr>
                <w:sz w:val="22"/>
                <w:szCs w:val="22"/>
              </w:rPr>
            </w:pPr>
          </w:p>
          <w:p w14:paraId="28E8ADDD" w14:textId="77777777" w:rsidR="00DD563F" w:rsidRPr="009D07C7" w:rsidRDefault="00DD563F" w:rsidP="00CD5B78">
            <w:pPr>
              <w:jc w:val="center"/>
              <w:rPr>
                <w:sz w:val="22"/>
                <w:szCs w:val="22"/>
              </w:rPr>
            </w:pPr>
          </w:p>
          <w:p w14:paraId="0162BAF3" w14:textId="77777777" w:rsidR="00DD563F" w:rsidRPr="009D07C7" w:rsidRDefault="00DD563F" w:rsidP="00CD5B78">
            <w:pPr>
              <w:jc w:val="center"/>
              <w:rPr>
                <w:sz w:val="22"/>
                <w:szCs w:val="22"/>
              </w:rPr>
            </w:pPr>
          </w:p>
          <w:p w14:paraId="43AAB094" w14:textId="77777777" w:rsidR="00DD563F" w:rsidRPr="009D07C7" w:rsidRDefault="00DD563F" w:rsidP="00CD5B78">
            <w:pPr>
              <w:jc w:val="center"/>
              <w:rPr>
                <w:sz w:val="22"/>
                <w:szCs w:val="22"/>
              </w:rPr>
            </w:pPr>
          </w:p>
          <w:p w14:paraId="0644EF5E" w14:textId="77777777" w:rsidR="00DD563F" w:rsidRPr="009D07C7" w:rsidRDefault="00DD563F" w:rsidP="00CD5B78">
            <w:pPr>
              <w:jc w:val="center"/>
              <w:rPr>
                <w:sz w:val="22"/>
                <w:szCs w:val="22"/>
              </w:rPr>
            </w:pPr>
          </w:p>
          <w:p w14:paraId="1D9FA0AC" w14:textId="77777777" w:rsidR="00DD563F" w:rsidRPr="009D07C7" w:rsidRDefault="00DD563F" w:rsidP="00CD5B78">
            <w:pPr>
              <w:jc w:val="center"/>
              <w:rPr>
                <w:sz w:val="22"/>
                <w:szCs w:val="22"/>
              </w:rPr>
            </w:pPr>
          </w:p>
          <w:p w14:paraId="0FE3B0D1" w14:textId="77777777" w:rsidR="00DD563F" w:rsidRPr="009D07C7" w:rsidRDefault="00DD563F" w:rsidP="00CD5B78">
            <w:pPr>
              <w:jc w:val="center"/>
              <w:rPr>
                <w:sz w:val="22"/>
                <w:szCs w:val="22"/>
              </w:rPr>
            </w:pPr>
          </w:p>
          <w:p w14:paraId="2D02FC99" w14:textId="77777777" w:rsidR="00DD563F" w:rsidRPr="009D07C7" w:rsidRDefault="00DD563F" w:rsidP="00CD5B78">
            <w:pPr>
              <w:jc w:val="center"/>
              <w:rPr>
                <w:sz w:val="22"/>
                <w:szCs w:val="22"/>
              </w:rPr>
            </w:pPr>
          </w:p>
          <w:p w14:paraId="66A135AC" w14:textId="77777777" w:rsidR="00DD563F" w:rsidRPr="009D07C7" w:rsidRDefault="00DD563F" w:rsidP="00CD5B78">
            <w:pPr>
              <w:jc w:val="center"/>
              <w:rPr>
                <w:sz w:val="22"/>
                <w:szCs w:val="22"/>
              </w:rPr>
            </w:pPr>
          </w:p>
          <w:p w14:paraId="5194FB3F" w14:textId="77777777" w:rsidR="00DD563F" w:rsidRPr="009D07C7" w:rsidRDefault="00DD563F" w:rsidP="00CD5B78">
            <w:pPr>
              <w:jc w:val="center"/>
              <w:rPr>
                <w:sz w:val="22"/>
                <w:szCs w:val="22"/>
              </w:rPr>
            </w:pPr>
          </w:p>
          <w:p w14:paraId="5B779213" w14:textId="77777777" w:rsidR="00DD563F" w:rsidRPr="009D07C7" w:rsidRDefault="00DD563F" w:rsidP="00CD5B78">
            <w:pPr>
              <w:jc w:val="center"/>
              <w:rPr>
                <w:sz w:val="22"/>
                <w:szCs w:val="22"/>
              </w:rPr>
            </w:pPr>
          </w:p>
          <w:p w14:paraId="152BDC37" w14:textId="77777777" w:rsidR="00DD563F" w:rsidRPr="009D07C7" w:rsidRDefault="00DD563F" w:rsidP="00CD5B78">
            <w:pPr>
              <w:jc w:val="center"/>
              <w:rPr>
                <w:sz w:val="22"/>
                <w:szCs w:val="22"/>
              </w:rPr>
            </w:pPr>
          </w:p>
          <w:p w14:paraId="4EABE061" w14:textId="77777777" w:rsidR="00DD563F" w:rsidRPr="009D07C7" w:rsidRDefault="00DD563F" w:rsidP="00CD5B78">
            <w:pPr>
              <w:jc w:val="center"/>
              <w:rPr>
                <w:sz w:val="22"/>
                <w:szCs w:val="22"/>
              </w:rPr>
            </w:pPr>
          </w:p>
          <w:p w14:paraId="32CBBE22" w14:textId="77777777" w:rsidR="00DD563F" w:rsidRPr="009D07C7" w:rsidRDefault="00DD563F" w:rsidP="00CD5B78">
            <w:pPr>
              <w:jc w:val="center"/>
              <w:rPr>
                <w:sz w:val="22"/>
                <w:szCs w:val="22"/>
              </w:rPr>
            </w:pPr>
          </w:p>
          <w:p w14:paraId="4D49F079" w14:textId="77777777" w:rsidR="00DD563F" w:rsidRPr="009D07C7" w:rsidRDefault="00DD563F" w:rsidP="00CD5B78">
            <w:pPr>
              <w:jc w:val="center"/>
              <w:rPr>
                <w:sz w:val="22"/>
                <w:szCs w:val="22"/>
              </w:rPr>
            </w:pPr>
          </w:p>
          <w:p w14:paraId="289B2ECC" w14:textId="77777777" w:rsidR="00DD563F" w:rsidRPr="009D07C7" w:rsidRDefault="007D3EE8" w:rsidP="00CD5B78">
            <w:pPr>
              <w:jc w:val="center"/>
              <w:rPr>
                <w:sz w:val="22"/>
                <w:szCs w:val="22"/>
              </w:rPr>
            </w:pPr>
            <w:r w:rsidRPr="009D07C7">
              <w:rPr>
                <w:sz w:val="22"/>
                <w:szCs w:val="22"/>
              </w:rPr>
              <w:t>b</w:t>
            </w:r>
            <w:r w:rsidR="00DD563F" w:rsidRPr="009D07C7">
              <w:rPr>
                <w:sz w:val="22"/>
                <w:szCs w:val="22"/>
              </w:rPr>
              <w:t>) Proporcionāla finanšu korekcija</w:t>
            </w:r>
            <w:r w:rsidR="008B3757" w:rsidRPr="009D07C7">
              <w:rPr>
                <w:sz w:val="22"/>
                <w:szCs w:val="22"/>
              </w:rPr>
              <w:t xml:space="preserve"> atbilstoši piemērā minētajam</w:t>
            </w:r>
          </w:p>
        </w:tc>
      </w:tr>
      <w:tr w:rsidR="00CE7911" w:rsidRPr="009D07C7" w14:paraId="5247F942" w14:textId="77777777" w:rsidTr="00E569DC">
        <w:tc>
          <w:tcPr>
            <w:tcW w:w="276" w:type="pct"/>
          </w:tcPr>
          <w:p w14:paraId="2B3417AC" w14:textId="77777777" w:rsidR="00CE7911" w:rsidRPr="009D07C7" w:rsidRDefault="00CE7911" w:rsidP="00E65D59">
            <w:pPr>
              <w:numPr>
                <w:ilvl w:val="0"/>
                <w:numId w:val="1"/>
              </w:numPr>
              <w:rPr>
                <w:sz w:val="22"/>
                <w:szCs w:val="22"/>
              </w:rPr>
            </w:pPr>
          </w:p>
        </w:tc>
        <w:tc>
          <w:tcPr>
            <w:tcW w:w="1726" w:type="pct"/>
          </w:tcPr>
          <w:p w14:paraId="087CFEB3" w14:textId="77777777" w:rsidR="00CE7911" w:rsidRDefault="00FC1B56" w:rsidP="003B748F">
            <w:pPr>
              <w:jc w:val="both"/>
              <w:rPr>
                <w:b/>
                <w:sz w:val="22"/>
                <w:szCs w:val="22"/>
              </w:rPr>
            </w:pPr>
            <w:r>
              <w:rPr>
                <w:b/>
                <w:sz w:val="22"/>
                <w:szCs w:val="22"/>
              </w:rPr>
              <w:t>U</w:t>
            </w:r>
            <w:r w:rsidR="00A71533" w:rsidRPr="00A71533">
              <w:rPr>
                <w:b/>
                <w:sz w:val="22"/>
                <w:szCs w:val="22"/>
              </w:rPr>
              <w:t>zraudzības rādītāj</w:t>
            </w:r>
            <w:r w:rsidR="00A71533">
              <w:rPr>
                <w:b/>
                <w:sz w:val="22"/>
                <w:szCs w:val="22"/>
              </w:rPr>
              <w:t xml:space="preserve">u </w:t>
            </w:r>
            <w:r w:rsidR="00A71533" w:rsidRPr="00A71533">
              <w:rPr>
                <w:b/>
                <w:sz w:val="22"/>
                <w:szCs w:val="22"/>
              </w:rPr>
              <w:t xml:space="preserve">atbilstoši normatīvajos aktos par attiecīgā </w:t>
            </w:r>
            <w:r w:rsidR="006F4770">
              <w:rPr>
                <w:b/>
                <w:sz w:val="22"/>
                <w:szCs w:val="22"/>
              </w:rPr>
              <w:t xml:space="preserve">SAM </w:t>
            </w:r>
            <w:r w:rsidR="00A71533" w:rsidRPr="00A71533">
              <w:rPr>
                <w:b/>
                <w:sz w:val="22"/>
                <w:szCs w:val="22"/>
              </w:rPr>
              <w:t>īstenošanu norādītajiem</w:t>
            </w:r>
            <w:r w:rsidR="00A71533">
              <w:rPr>
                <w:b/>
                <w:sz w:val="22"/>
                <w:szCs w:val="22"/>
              </w:rPr>
              <w:t xml:space="preserve"> sasniegšana</w:t>
            </w:r>
            <w:r w:rsidR="003107BA">
              <w:rPr>
                <w:b/>
                <w:sz w:val="22"/>
                <w:szCs w:val="22"/>
              </w:rPr>
              <w:t xml:space="preserve"> </w:t>
            </w:r>
            <w:r w:rsidR="00731F26">
              <w:rPr>
                <w:b/>
                <w:sz w:val="22"/>
                <w:szCs w:val="22"/>
              </w:rPr>
              <w:t xml:space="preserve">un rādītāju sasniegšana </w:t>
            </w:r>
            <w:r w:rsidR="003107BA">
              <w:rPr>
                <w:b/>
                <w:sz w:val="22"/>
                <w:szCs w:val="22"/>
              </w:rPr>
              <w:t>projekta pēcuzraudzības periodā</w:t>
            </w:r>
          </w:p>
          <w:p w14:paraId="3E43CB01" w14:textId="77777777" w:rsidR="00CE7911" w:rsidRDefault="00CE7911" w:rsidP="003B748F">
            <w:pPr>
              <w:jc w:val="both"/>
              <w:rPr>
                <w:b/>
                <w:sz w:val="22"/>
                <w:szCs w:val="22"/>
              </w:rPr>
            </w:pPr>
          </w:p>
          <w:p w14:paraId="49CFC51F" w14:textId="77777777" w:rsidR="00094CDA" w:rsidRDefault="00094CDA" w:rsidP="003B748F">
            <w:pPr>
              <w:jc w:val="both"/>
              <w:rPr>
                <w:b/>
                <w:sz w:val="22"/>
                <w:szCs w:val="22"/>
              </w:rPr>
            </w:pPr>
          </w:p>
          <w:p w14:paraId="42CA1559" w14:textId="77777777" w:rsidR="00607A23" w:rsidRDefault="00094CDA" w:rsidP="00094CDA">
            <w:pPr>
              <w:jc w:val="both"/>
              <w:rPr>
                <w:i/>
                <w:sz w:val="22"/>
                <w:szCs w:val="22"/>
              </w:rPr>
            </w:pPr>
            <w:r>
              <w:rPr>
                <w:i/>
                <w:sz w:val="22"/>
                <w:szCs w:val="22"/>
              </w:rPr>
              <w:t xml:space="preserve">Šis punkts piemērojams rādītāju nesasniegšanas gadījumā, ja tas izriet no projekta rezultāta. </w:t>
            </w:r>
          </w:p>
          <w:p w14:paraId="5DA1BE10" w14:textId="77777777" w:rsidR="00607A23" w:rsidRDefault="00607A23" w:rsidP="00094CDA">
            <w:pPr>
              <w:jc w:val="both"/>
              <w:rPr>
                <w:i/>
                <w:sz w:val="22"/>
                <w:szCs w:val="22"/>
              </w:rPr>
            </w:pPr>
          </w:p>
          <w:p w14:paraId="210557A3" w14:textId="77777777" w:rsidR="00607A23" w:rsidRPr="00607A23" w:rsidRDefault="00607A23" w:rsidP="00607A23">
            <w:pPr>
              <w:jc w:val="both"/>
              <w:rPr>
                <w:i/>
                <w:sz w:val="22"/>
                <w:szCs w:val="22"/>
              </w:rPr>
            </w:pPr>
            <w:r w:rsidRPr="00607A23">
              <w:rPr>
                <w:i/>
                <w:sz w:val="22"/>
                <w:szCs w:val="22"/>
              </w:rPr>
              <w:t>Projekta mērķu vai rādītāju nesasniegšanas gadījumā arī var būt izņēmumu situācijas, kad nepiemēro finanšu korekciju. Finanšu korekciju nepiemēro, ja projekta mērķu vai rādītāju nesasniegšanas pamatā ir sociāli ekonomisko  vai vides faktoru ietekme, būtiskas izmaiņas valsts ekonomikas vai vides apstākļos vai nepārvaramas varas un ārkārtēja r</w:t>
            </w:r>
            <w:r>
              <w:rPr>
                <w:i/>
                <w:sz w:val="22"/>
                <w:szCs w:val="22"/>
              </w:rPr>
              <w:t>akstura apstākļi (force majeure</w:t>
            </w:r>
            <w:r w:rsidRPr="00607A23">
              <w:rPr>
                <w:i/>
                <w:sz w:val="22"/>
                <w:szCs w:val="22"/>
              </w:rPr>
              <w:t xml:space="preserve">), kas nopietni ietekmē attiecīgo prioritāšu un projekta īstenošanu. </w:t>
            </w:r>
          </w:p>
          <w:p w14:paraId="64FFCA4D" w14:textId="77777777" w:rsidR="00607A23" w:rsidRPr="00607A23" w:rsidRDefault="00607A23" w:rsidP="00607A23">
            <w:pPr>
              <w:jc w:val="both"/>
              <w:rPr>
                <w:i/>
                <w:sz w:val="22"/>
                <w:szCs w:val="22"/>
              </w:rPr>
            </w:pPr>
          </w:p>
          <w:p w14:paraId="4400CDC1" w14:textId="77777777" w:rsidR="00607A23" w:rsidRDefault="00607A23" w:rsidP="00607A23">
            <w:pPr>
              <w:jc w:val="both"/>
              <w:rPr>
                <w:i/>
                <w:sz w:val="22"/>
                <w:szCs w:val="22"/>
              </w:rPr>
            </w:pPr>
            <w:r w:rsidRPr="00607A23">
              <w:rPr>
                <w:i/>
                <w:sz w:val="22"/>
                <w:szCs w:val="22"/>
              </w:rPr>
              <w:t>Tomēr lemjot par finanšu korekcijas nepiemērošanu katrs gadījums ir jāvērtē atsevišķi, nosakot force majeure esamību un novērtējot, vai konkrētie situācijas apstākļi ir tikai grūtības, kad saistību izpilde ir iespējama, bet ir apgrūtināta un mērķis</w:t>
            </w:r>
            <w:r w:rsidR="00F928D4">
              <w:rPr>
                <w:i/>
                <w:sz w:val="22"/>
                <w:szCs w:val="22"/>
              </w:rPr>
              <w:t xml:space="preserve"> </w:t>
            </w:r>
            <w:r w:rsidRPr="00607A23">
              <w:rPr>
                <w:i/>
                <w:sz w:val="22"/>
                <w:szCs w:val="22"/>
              </w:rPr>
              <w:t xml:space="preserve">/ rādītāji joprojām paliek saistību izpilde, vai reāli force majeure apstākļi, kad saistību izpilde ir neiespējama. Tā pat arī jāvērtē būtisko izmaiņu valsts sociāli </w:t>
            </w:r>
            <w:r w:rsidRPr="00607A23">
              <w:rPr>
                <w:i/>
                <w:sz w:val="22"/>
                <w:szCs w:val="22"/>
              </w:rPr>
              <w:lastRenderedPageBreak/>
              <w:t>ekonomiskajos vai vides apstākļos faktiskā ietekme uz projekta vai prioritāšu īstenošanu.</w:t>
            </w:r>
          </w:p>
          <w:p w14:paraId="6DE24086" w14:textId="77777777" w:rsidR="00607A23" w:rsidRPr="00094CDA" w:rsidRDefault="00607A23" w:rsidP="00094CDA">
            <w:pPr>
              <w:jc w:val="both"/>
              <w:rPr>
                <w:i/>
                <w:sz w:val="22"/>
                <w:szCs w:val="22"/>
              </w:rPr>
            </w:pPr>
          </w:p>
        </w:tc>
        <w:tc>
          <w:tcPr>
            <w:tcW w:w="2061" w:type="pct"/>
          </w:tcPr>
          <w:p w14:paraId="1BD24599" w14:textId="77777777" w:rsidR="003107BA" w:rsidRDefault="00731F26" w:rsidP="00731F26">
            <w:pPr>
              <w:numPr>
                <w:ilvl w:val="0"/>
                <w:numId w:val="20"/>
              </w:numPr>
              <w:tabs>
                <w:tab w:val="left" w:pos="210"/>
              </w:tabs>
              <w:jc w:val="both"/>
              <w:rPr>
                <w:sz w:val="22"/>
                <w:szCs w:val="22"/>
              </w:rPr>
            </w:pPr>
            <w:r w:rsidRPr="00731F26">
              <w:rPr>
                <w:sz w:val="22"/>
                <w:szCs w:val="22"/>
              </w:rPr>
              <w:lastRenderedPageBreak/>
              <w:t>Uzraudzības rādītāju atbilstoši normatīvajos aktos par attiecīgā SAM īstenošanu norādītajiem sasniegšana</w:t>
            </w:r>
            <w:r>
              <w:rPr>
                <w:sz w:val="22"/>
                <w:szCs w:val="22"/>
              </w:rPr>
              <w:t xml:space="preserve"> </w:t>
            </w:r>
          </w:p>
          <w:p w14:paraId="6CC4CE3A" w14:textId="77777777" w:rsidR="00A71533" w:rsidRDefault="00A71533" w:rsidP="00A71533">
            <w:pPr>
              <w:tabs>
                <w:tab w:val="left" w:pos="210"/>
              </w:tabs>
              <w:jc w:val="both"/>
              <w:rPr>
                <w:sz w:val="22"/>
                <w:szCs w:val="22"/>
                <w:highlight w:val="yellow"/>
              </w:rPr>
            </w:pPr>
            <w:r w:rsidRPr="009D07C7">
              <w:rPr>
                <w:sz w:val="22"/>
                <w:szCs w:val="22"/>
              </w:rPr>
              <w:t>Ja mērķis kopumā tiek sasniegts, bet rādītāji tiek sasniegti tikai daļēji, šajā gadījumā jāvērtē nesasniegto rādītāju būtiskumu un ietekmi uz projekta mērķa sasniegšanu.</w:t>
            </w:r>
            <w:r w:rsidR="003B748F">
              <w:rPr>
                <w:sz w:val="22"/>
                <w:szCs w:val="22"/>
              </w:rPr>
              <w:t xml:space="preserve"> Būtiskuma noteikšanai ņem vērā attiecīgā rādītāja sasnieguma koeficientu. </w:t>
            </w:r>
          </w:p>
          <w:p w14:paraId="55288A7E" w14:textId="77777777" w:rsidR="00CE7911" w:rsidRDefault="00CE7911" w:rsidP="0087230B">
            <w:pPr>
              <w:jc w:val="both"/>
              <w:rPr>
                <w:sz w:val="22"/>
                <w:szCs w:val="22"/>
              </w:rPr>
            </w:pPr>
          </w:p>
          <w:p w14:paraId="0F55F4B2" w14:textId="77777777" w:rsidR="003B748F" w:rsidRPr="003B748F" w:rsidRDefault="003B748F" w:rsidP="0087230B">
            <w:pPr>
              <w:jc w:val="both"/>
              <w:rPr>
                <w:i/>
                <w:sz w:val="22"/>
                <w:szCs w:val="22"/>
              </w:rPr>
            </w:pPr>
            <w:r w:rsidRPr="003B748F">
              <w:rPr>
                <w:i/>
                <w:sz w:val="22"/>
                <w:szCs w:val="22"/>
              </w:rPr>
              <w:t xml:space="preserve">Piemēram: </w:t>
            </w:r>
          </w:p>
          <w:p w14:paraId="6F98F9DF" w14:textId="77777777" w:rsidR="003B748F" w:rsidRDefault="003B748F" w:rsidP="0087230B">
            <w:pPr>
              <w:jc w:val="both"/>
              <w:rPr>
                <w:i/>
                <w:sz w:val="22"/>
                <w:szCs w:val="22"/>
              </w:rPr>
            </w:pPr>
            <w:r>
              <w:rPr>
                <w:i/>
                <w:sz w:val="22"/>
                <w:szCs w:val="22"/>
              </w:rPr>
              <w:t xml:space="preserve">Sasnieguma koeficients </w:t>
            </w:r>
            <w:r w:rsidRPr="003B748F">
              <w:rPr>
                <w:i/>
                <w:sz w:val="22"/>
                <w:szCs w:val="22"/>
              </w:rPr>
              <w:t xml:space="preserve">= </w:t>
            </w:r>
            <w:r>
              <w:rPr>
                <w:i/>
                <w:sz w:val="22"/>
                <w:szCs w:val="22"/>
              </w:rPr>
              <w:t xml:space="preserve">(faktiski sasniegtā  rādītāja vērtība/ plānotā rādītāja </w:t>
            </w:r>
            <w:r w:rsidRPr="003B748F">
              <w:rPr>
                <w:i/>
                <w:sz w:val="22"/>
                <w:szCs w:val="22"/>
              </w:rPr>
              <w:t>gala vērtība</w:t>
            </w:r>
            <w:r>
              <w:rPr>
                <w:i/>
                <w:sz w:val="22"/>
                <w:szCs w:val="22"/>
              </w:rPr>
              <w:t>)*100</w:t>
            </w:r>
          </w:p>
          <w:p w14:paraId="5AB6DC77" w14:textId="77777777" w:rsidR="003F0E9A" w:rsidRDefault="003F0E9A" w:rsidP="0087230B">
            <w:pPr>
              <w:jc w:val="both"/>
              <w:rPr>
                <w:i/>
                <w:sz w:val="22"/>
                <w:szCs w:val="22"/>
              </w:rPr>
            </w:pPr>
          </w:p>
          <w:p w14:paraId="3434B632" w14:textId="77777777" w:rsidR="003F0E9A" w:rsidRDefault="003F0E9A" w:rsidP="006103A7">
            <w:pPr>
              <w:numPr>
                <w:ilvl w:val="0"/>
                <w:numId w:val="19"/>
              </w:numPr>
              <w:tabs>
                <w:tab w:val="left" w:pos="375"/>
              </w:tabs>
              <w:spacing w:before="240"/>
              <w:jc w:val="both"/>
              <w:rPr>
                <w:sz w:val="22"/>
                <w:szCs w:val="22"/>
              </w:rPr>
            </w:pPr>
            <w:r>
              <w:rPr>
                <w:sz w:val="22"/>
                <w:szCs w:val="22"/>
              </w:rPr>
              <w:t xml:space="preserve">Projektā saskaņā ar projekta iesniegumu, pabeidzot projektu, bija plānots sasniegt rādītāja </w:t>
            </w:r>
            <w:r w:rsidRPr="003F0E9A">
              <w:rPr>
                <w:sz w:val="22"/>
                <w:szCs w:val="22"/>
              </w:rPr>
              <w:t>gala vērtīb</w:t>
            </w:r>
            <w:r>
              <w:rPr>
                <w:sz w:val="22"/>
                <w:szCs w:val="22"/>
              </w:rPr>
              <w:t xml:space="preserve">u 900, bet faktiski tika sasniegts 800. </w:t>
            </w:r>
          </w:p>
          <w:p w14:paraId="653E6465" w14:textId="77777777" w:rsidR="003F0E9A" w:rsidRPr="003F0E9A" w:rsidRDefault="003F0E9A" w:rsidP="006103A7">
            <w:pPr>
              <w:numPr>
                <w:ilvl w:val="0"/>
                <w:numId w:val="19"/>
              </w:numPr>
              <w:jc w:val="both"/>
              <w:rPr>
                <w:sz w:val="22"/>
                <w:szCs w:val="22"/>
              </w:rPr>
            </w:pPr>
            <w:r w:rsidRPr="003F0E9A">
              <w:rPr>
                <w:sz w:val="22"/>
                <w:szCs w:val="22"/>
              </w:rPr>
              <w:t xml:space="preserve">Projektā saskaņā ar projekta iesniegumu, pabeidzot projektu, bija plānots sasniegt rādītāja gala vērtību 900, bet faktiski tika sasniegts </w:t>
            </w:r>
            <w:r>
              <w:rPr>
                <w:sz w:val="22"/>
                <w:szCs w:val="22"/>
              </w:rPr>
              <w:t>567</w:t>
            </w:r>
            <w:r w:rsidRPr="003F0E9A">
              <w:rPr>
                <w:sz w:val="22"/>
                <w:szCs w:val="22"/>
              </w:rPr>
              <w:t xml:space="preserve">. </w:t>
            </w:r>
          </w:p>
          <w:p w14:paraId="259E546E" w14:textId="77777777" w:rsidR="003F0E9A" w:rsidRPr="003F0E9A" w:rsidRDefault="003F0E9A" w:rsidP="006103A7">
            <w:pPr>
              <w:numPr>
                <w:ilvl w:val="0"/>
                <w:numId w:val="19"/>
              </w:numPr>
              <w:jc w:val="both"/>
              <w:rPr>
                <w:sz w:val="22"/>
                <w:szCs w:val="22"/>
              </w:rPr>
            </w:pPr>
            <w:r w:rsidRPr="003F0E9A">
              <w:rPr>
                <w:sz w:val="22"/>
                <w:szCs w:val="22"/>
              </w:rPr>
              <w:t xml:space="preserve">Projektā saskaņā ar projekta iesniegumu, pabeidzot projektu, bija plānots sasniegt rādītāja gala vērtību 900, bet faktiski tika sasniegts </w:t>
            </w:r>
            <w:r>
              <w:rPr>
                <w:sz w:val="22"/>
                <w:szCs w:val="22"/>
              </w:rPr>
              <w:t>400</w:t>
            </w:r>
            <w:r w:rsidRPr="003F0E9A">
              <w:rPr>
                <w:sz w:val="22"/>
                <w:szCs w:val="22"/>
              </w:rPr>
              <w:t xml:space="preserve">. </w:t>
            </w:r>
          </w:p>
          <w:p w14:paraId="4619BC5A" w14:textId="77777777" w:rsidR="00731F26" w:rsidRDefault="00731F26" w:rsidP="00731F26">
            <w:pPr>
              <w:numPr>
                <w:ilvl w:val="0"/>
                <w:numId w:val="20"/>
              </w:numPr>
              <w:tabs>
                <w:tab w:val="left" w:pos="375"/>
              </w:tabs>
              <w:spacing w:before="240"/>
              <w:jc w:val="both"/>
              <w:rPr>
                <w:sz w:val="22"/>
                <w:szCs w:val="22"/>
              </w:rPr>
            </w:pPr>
            <w:r>
              <w:rPr>
                <w:sz w:val="22"/>
                <w:szCs w:val="22"/>
              </w:rPr>
              <w:t>R</w:t>
            </w:r>
            <w:r w:rsidRPr="00731F26">
              <w:rPr>
                <w:sz w:val="22"/>
                <w:szCs w:val="22"/>
              </w:rPr>
              <w:t xml:space="preserve">ādītāju sasniegšana projekta pēcuzraudzības periodā </w:t>
            </w:r>
          </w:p>
          <w:p w14:paraId="645BB1F8" w14:textId="77777777" w:rsidR="003F0E9A" w:rsidRPr="003F0E9A" w:rsidRDefault="00AD72FF" w:rsidP="00731F26">
            <w:pPr>
              <w:tabs>
                <w:tab w:val="left" w:pos="375"/>
              </w:tabs>
              <w:spacing w:before="240"/>
              <w:jc w:val="both"/>
              <w:rPr>
                <w:sz w:val="22"/>
                <w:szCs w:val="22"/>
              </w:rPr>
            </w:pPr>
            <w:r>
              <w:rPr>
                <w:sz w:val="22"/>
                <w:szCs w:val="22"/>
              </w:rPr>
              <w:t>Projekta pē</w:t>
            </w:r>
            <w:r w:rsidR="00F15570">
              <w:rPr>
                <w:sz w:val="22"/>
                <w:szCs w:val="22"/>
              </w:rPr>
              <w:t>c</w:t>
            </w:r>
            <w:r>
              <w:rPr>
                <w:sz w:val="22"/>
                <w:szCs w:val="22"/>
              </w:rPr>
              <w:t>u</w:t>
            </w:r>
            <w:r w:rsidR="00F15570">
              <w:rPr>
                <w:sz w:val="22"/>
                <w:szCs w:val="22"/>
              </w:rPr>
              <w:t>z</w:t>
            </w:r>
            <w:r>
              <w:rPr>
                <w:sz w:val="22"/>
                <w:szCs w:val="22"/>
              </w:rPr>
              <w:t>raudzības periodā tikai daļēji sasniedz vai nesasniedz plānotos rādītājus. Piemēram, s</w:t>
            </w:r>
            <w:r w:rsidR="003107BA" w:rsidRPr="003107BA">
              <w:rPr>
                <w:sz w:val="22"/>
                <w:szCs w:val="22"/>
              </w:rPr>
              <w:t>aražotā jauda un siltumenerģijas patēriņ</w:t>
            </w:r>
            <w:r w:rsidR="00745118">
              <w:rPr>
                <w:sz w:val="22"/>
                <w:szCs w:val="22"/>
              </w:rPr>
              <w:t>š pēc projekta pabeigšanas tā pē</w:t>
            </w:r>
            <w:r w:rsidR="00490299">
              <w:rPr>
                <w:sz w:val="22"/>
                <w:szCs w:val="22"/>
              </w:rPr>
              <w:t>c</w:t>
            </w:r>
            <w:r w:rsidR="00745118">
              <w:rPr>
                <w:sz w:val="22"/>
                <w:szCs w:val="22"/>
              </w:rPr>
              <w:t>uzraudzības periodā tikai daļēji</w:t>
            </w:r>
            <w:r w:rsidR="003107BA" w:rsidRPr="003107BA">
              <w:rPr>
                <w:sz w:val="22"/>
                <w:szCs w:val="22"/>
              </w:rPr>
              <w:t xml:space="preserve"> atbilst</w:t>
            </w:r>
            <w:r w:rsidR="00745118">
              <w:rPr>
                <w:sz w:val="22"/>
                <w:szCs w:val="22"/>
              </w:rPr>
              <w:t xml:space="preserve"> plānotajam</w:t>
            </w:r>
            <w:r w:rsidR="003107BA" w:rsidRPr="003107BA">
              <w:rPr>
                <w:sz w:val="22"/>
                <w:szCs w:val="22"/>
              </w:rPr>
              <w:t>.</w:t>
            </w:r>
          </w:p>
          <w:p w14:paraId="2CC758CD" w14:textId="77777777" w:rsidR="003B748F" w:rsidRPr="009D07C7" w:rsidRDefault="003B748F" w:rsidP="003B748F">
            <w:pPr>
              <w:jc w:val="both"/>
              <w:rPr>
                <w:sz w:val="22"/>
                <w:szCs w:val="22"/>
              </w:rPr>
            </w:pPr>
          </w:p>
        </w:tc>
        <w:tc>
          <w:tcPr>
            <w:tcW w:w="937" w:type="pct"/>
            <w:gridSpan w:val="2"/>
          </w:tcPr>
          <w:p w14:paraId="76A684EA" w14:textId="77777777" w:rsidR="003107BA" w:rsidRDefault="006A0579" w:rsidP="00F17339">
            <w:pPr>
              <w:tabs>
                <w:tab w:val="left" w:pos="210"/>
              </w:tabs>
              <w:jc w:val="both"/>
              <w:rPr>
                <w:sz w:val="22"/>
                <w:szCs w:val="22"/>
              </w:rPr>
            </w:pPr>
            <w:r w:rsidRPr="006A0579">
              <w:rPr>
                <w:sz w:val="22"/>
                <w:szCs w:val="22"/>
              </w:rPr>
              <w:lastRenderedPageBreak/>
              <w:t>1.</w:t>
            </w:r>
            <w:r w:rsidRPr="006A0579">
              <w:rPr>
                <w:sz w:val="22"/>
                <w:szCs w:val="22"/>
              </w:rPr>
              <w:tab/>
            </w:r>
            <w:r w:rsidR="00731F26" w:rsidRPr="00731F26">
              <w:rPr>
                <w:sz w:val="22"/>
                <w:szCs w:val="22"/>
              </w:rPr>
              <w:t>Uzraudzības rādītāju atbilstoši normatīvajos aktos par attiecīgā SAM īstenošanu norādītajiem sasniegšana</w:t>
            </w:r>
            <w:r w:rsidR="00731F26">
              <w:rPr>
                <w:sz w:val="22"/>
                <w:szCs w:val="22"/>
              </w:rPr>
              <w:t>:</w:t>
            </w:r>
          </w:p>
          <w:p w14:paraId="6D45FA0B" w14:textId="77777777" w:rsidR="00F17339" w:rsidRPr="00F835CD" w:rsidRDefault="003107BA" w:rsidP="00F17339">
            <w:pPr>
              <w:tabs>
                <w:tab w:val="left" w:pos="210"/>
              </w:tabs>
              <w:jc w:val="both"/>
              <w:rPr>
                <w:sz w:val="22"/>
                <w:szCs w:val="22"/>
              </w:rPr>
            </w:pPr>
            <w:r>
              <w:rPr>
                <w:sz w:val="22"/>
                <w:szCs w:val="22"/>
              </w:rPr>
              <w:t>1.</w:t>
            </w:r>
            <w:r w:rsidR="00F17339" w:rsidRPr="00F835CD">
              <w:rPr>
                <w:sz w:val="22"/>
                <w:szCs w:val="22"/>
              </w:rPr>
              <w:t>1. Finanšu korekcijas līmeni nosaka šādi:</w:t>
            </w:r>
          </w:p>
          <w:p w14:paraId="30966DB6" w14:textId="77777777" w:rsidR="00F17339" w:rsidRPr="00F835CD" w:rsidRDefault="00F17339" w:rsidP="00F17339">
            <w:pPr>
              <w:tabs>
                <w:tab w:val="left" w:pos="210"/>
              </w:tabs>
              <w:jc w:val="both"/>
              <w:rPr>
                <w:sz w:val="22"/>
                <w:szCs w:val="22"/>
              </w:rPr>
            </w:pPr>
            <w:r w:rsidRPr="00F835CD">
              <w:rPr>
                <w:sz w:val="22"/>
                <w:szCs w:val="22"/>
              </w:rPr>
              <w:t>a) ja sasnieguma koeficients nepārsniedz 65%, bet nav mazāks par 60%, piemēro vienoto likmi 5% apmērā</w:t>
            </w:r>
            <w:r w:rsidR="003F0E9A">
              <w:rPr>
                <w:sz w:val="22"/>
                <w:szCs w:val="22"/>
              </w:rPr>
              <w:t xml:space="preserve"> no projekta attiecināmajām izmaksām</w:t>
            </w:r>
            <w:r w:rsidRPr="00F835CD">
              <w:rPr>
                <w:sz w:val="22"/>
                <w:szCs w:val="22"/>
              </w:rPr>
              <w:t>;</w:t>
            </w:r>
          </w:p>
          <w:p w14:paraId="15FBA062" w14:textId="77777777" w:rsidR="00F17339" w:rsidRPr="00F835CD" w:rsidRDefault="00F17339" w:rsidP="00F17339">
            <w:pPr>
              <w:tabs>
                <w:tab w:val="left" w:pos="210"/>
              </w:tabs>
              <w:jc w:val="both"/>
              <w:rPr>
                <w:sz w:val="22"/>
                <w:szCs w:val="22"/>
              </w:rPr>
            </w:pPr>
            <w:r w:rsidRPr="00F835CD">
              <w:rPr>
                <w:sz w:val="22"/>
                <w:szCs w:val="22"/>
              </w:rPr>
              <w:t>b) ja sasnieguma koeficients nepārsniedz 60%, bet nav mazāks par 50%, piemēro vienoto likmi 10% apmērā</w:t>
            </w:r>
            <w:r w:rsidR="003F0E9A">
              <w:t xml:space="preserve"> </w:t>
            </w:r>
            <w:r w:rsidR="003F0E9A" w:rsidRPr="003F0E9A">
              <w:rPr>
                <w:sz w:val="22"/>
                <w:szCs w:val="22"/>
              </w:rPr>
              <w:t>no projekta attiecināmajām izmaksām</w:t>
            </w:r>
            <w:r w:rsidRPr="00F835CD">
              <w:rPr>
                <w:sz w:val="22"/>
                <w:szCs w:val="22"/>
              </w:rPr>
              <w:t>;</w:t>
            </w:r>
          </w:p>
          <w:p w14:paraId="71448B18" w14:textId="77777777" w:rsidR="00F17339" w:rsidRPr="00F835CD" w:rsidRDefault="00F17339" w:rsidP="00F17339">
            <w:pPr>
              <w:tabs>
                <w:tab w:val="left" w:pos="210"/>
              </w:tabs>
              <w:jc w:val="both"/>
              <w:rPr>
                <w:sz w:val="22"/>
                <w:szCs w:val="22"/>
              </w:rPr>
            </w:pPr>
            <w:r w:rsidRPr="00F835CD">
              <w:rPr>
                <w:sz w:val="22"/>
                <w:szCs w:val="22"/>
              </w:rPr>
              <w:t xml:space="preserve"> </w:t>
            </w:r>
            <w:r w:rsidR="00B47B63">
              <w:rPr>
                <w:sz w:val="22"/>
                <w:szCs w:val="22"/>
              </w:rPr>
              <w:t xml:space="preserve">c) </w:t>
            </w:r>
            <w:r w:rsidRPr="00F835CD">
              <w:rPr>
                <w:sz w:val="22"/>
                <w:szCs w:val="22"/>
              </w:rPr>
              <w:t>ja sasnieguma koeficients nepārsniedz 50%, piemēro vienoto likmi 25% apmērā</w:t>
            </w:r>
            <w:r w:rsidR="003F0E9A">
              <w:t xml:space="preserve"> </w:t>
            </w:r>
            <w:r w:rsidR="003F0E9A" w:rsidRPr="003F0E9A">
              <w:rPr>
                <w:sz w:val="22"/>
                <w:szCs w:val="22"/>
              </w:rPr>
              <w:t>no projekta attiecināmajām izmaksām</w:t>
            </w:r>
            <w:r w:rsidRPr="00F835CD">
              <w:rPr>
                <w:sz w:val="22"/>
                <w:szCs w:val="22"/>
              </w:rPr>
              <w:t>.</w:t>
            </w:r>
          </w:p>
          <w:p w14:paraId="6D98FA19" w14:textId="77777777" w:rsidR="00F17339" w:rsidRPr="0087230B" w:rsidRDefault="00F17339" w:rsidP="00F17339">
            <w:pPr>
              <w:tabs>
                <w:tab w:val="left" w:pos="210"/>
              </w:tabs>
              <w:jc w:val="both"/>
              <w:rPr>
                <w:sz w:val="22"/>
                <w:szCs w:val="22"/>
                <w:highlight w:val="yellow"/>
              </w:rPr>
            </w:pPr>
            <w:r w:rsidRPr="0087230B">
              <w:rPr>
                <w:sz w:val="22"/>
                <w:szCs w:val="22"/>
                <w:highlight w:val="yellow"/>
              </w:rPr>
              <w:t xml:space="preserve"> </w:t>
            </w:r>
          </w:p>
          <w:p w14:paraId="20BF7DF5" w14:textId="77777777" w:rsidR="00F17339" w:rsidRPr="00F17339" w:rsidRDefault="009414DE" w:rsidP="00F17339">
            <w:pPr>
              <w:jc w:val="both"/>
              <w:rPr>
                <w:sz w:val="22"/>
                <w:szCs w:val="22"/>
              </w:rPr>
            </w:pPr>
            <w:r>
              <w:rPr>
                <w:sz w:val="22"/>
                <w:szCs w:val="22"/>
              </w:rPr>
              <w:t>1.</w:t>
            </w:r>
            <w:r w:rsidR="00F17339" w:rsidRPr="00F17339">
              <w:rPr>
                <w:sz w:val="22"/>
                <w:szCs w:val="22"/>
              </w:rPr>
              <w:t xml:space="preserve">2. Ārējie faktori, kas veicina būtisku atpalicību no mērķiem tiek izskatīti katrā </w:t>
            </w:r>
            <w:r w:rsidR="00F17339" w:rsidRPr="00F17339">
              <w:rPr>
                <w:sz w:val="22"/>
                <w:szCs w:val="22"/>
              </w:rPr>
              <w:lastRenderedPageBreak/>
              <w:t>gadījumā atsevišķi. Finanšu korekciju, kas noteikta šī punkta 1.punktā, var samazināt līdz 50% atkarībā no tā, cik ārējie faktori ietekmējuši būtisku atpalicību no mērķiem.</w:t>
            </w:r>
          </w:p>
          <w:p w14:paraId="6D4FD0A1" w14:textId="77777777" w:rsidR="00F17339" w:rsidRPr="00F17339" w:rsidRDefault="00F17339" w:rsidP="00F17339">
            <w:pPr>
              <w:jc w:val="both"/>
              <w:rPr>
                <w:sz w:val="22"/>
                <w:szCs w:val="22"/>
              </w:rPr>
            </w:pPr>
          </w:p>
          <w:p w14:paraId="2A03AC45" w14:textId="77777777" w:rsidR="00CE7911" w:rsidRDefault="003107BA" w:rsidP="00F17339">
            <w:pPr>
              <w:jc w:val="both"/>
              <w:rPr>
                <w:sz w:val="22"/>
                <w:szCs w:val="22"/>
              </w:rPr>
            </w:pPr>
            <w:r>
              <w:rPr>
                <w:sz w:val="22"/>
                <w:szCs w:val="22"/>
              </w:rPr>
              <w:t>1.</w:t>
            </w:r>
            <w:r w:rsidR="00F17339">
              <w:rPr>
                <w:sz w:val="22"/>
                <w:szCs w:val="22"/>
              </w:rPr>
              <w:t>3.</w:t>
            </w:r>
            <w:r w:rsidR="00F17339" w:rsidRPr="00F17339">
              <w:rPr>
                <w:sz w:val="22"/>
                <w:szCs w:val="22"/>
              </w:rPr>
              <w:t xml:space="preserve">  Gadījumos, kad saskaņā ar šī punkta 1. punktu noteiktās vienotās likmes piemērošana nebūtu samērīga, korekcijas līmeni pazemina.</w:t>
            </w:r>
          </w:p>
          <w:p w14:paraId="69F4AF9A" w14:textId="77777777" w:rsidR="00AD72FF" w:rsidRDefault="00AD72FF" w:rsidP="00F17339">
            <w:pPr>
              <w:jc w:val="both"/>
              <w:rPr>
                <w:sz w:val="22"/>
                <w:szCs w:val="22"/>
              </w:rPr>
            </w:pPr>
          </w:p>
          <w:p w14:paraId="6B018D4C" w14:textId="77777777" w:rsidR="006A0579" w:rsidRDefault="00AD72FF" w:rsidP="00745118">
            <w:pPr>
              <w:ind w:left="34"/>
              <w:jc w:val="both"/>
            </w:pPr>
            <w:r>
              <w:rPr>
                <w:sz w:val="22"/>
                <w:szCs w:val="22"/>
              </w:rPr>
              <w:t>2.</w:t>
            </w:r>
            <w:r w:rsidR="00731F26">
              <w:rPr>
                <w:sz w:val="22"/>
                <w:szCs w:val="22"/>
              </w:rPr>
              <w:t xml:space="preserve">Rādītāju sasniegšana </w:t>
            </w:r>
            <w:r w:rsidR="00731F26" w:rsidRPr="00811F5F">
              <w:rPr>
                <w:sz w:val="22"/>
                <w:szCs w:val="22"/>
              </w:rPr>
              <w:t>p</w:t>
            </w:r>
            <w:r w:rsidR="006A0579" w:rsidRPr="00811F5F">
              <w:rPr>
                <w:sz w:val="22"/>
                <w:szCs w:val="22"/>
              </w:rPr>
              <w:t>rojekta</w:t>
            </w:r>
            <w:r w:rsidR="006A0579" w:rsidRPr="006A0579">
              <w:t xml:space="preserve"> pēcuzraudzības periodā</w:t>
            </w:r>
          </w:p>
          <w:p w14:paraId="35967B18" w14:textId="77777777" w:rsidR="006A0579" w:rsidRDefault="006A0579" w:rsidP="00745118">
            <w:pPr>
              <w:ind w:left="34"/>
              <w:jc w:val="both"/>
            </w:pPr>
          </w:p>
          <w:p w14:paraId="68FD2381" w14:textId="77777777" w:rsidR="00AD72FF" w:rsidRPr="009D07C7" w:rsidRDefault="00AD72FF" w:rsidP="00745118">
            <w:pPr>
              <w:ind w:left="34"/>
              <w:jc w:val="both"/>
              <w:rPr>
                <w:sz w:val="22"/>
                <w:szCs w:val="22"/>
              </w:rPr>
            </w:pPr>
            <w:r w:rsidRPr="00AD72FF">
              <w:rPr>
                <w:sz w:val="22"/>
                <w:szCs w:val="22"/>
              </w:rPr>
              <w:t>100% vai proporcionāl</w:t>
            </w:r>
            <w:r>
              <w:rPr>
                <w:sz w:val="22"/>
                <w:szCs w:val="22"/>
              </w:rPr>
              <w:t>i</w:t>
            </w:r>
            <w:r w:rsidRPr="00AD72FF">
              <w:rPr>
                <w:sz w:val="22"/>
                <w:szCs w:val="22"/>
              </w:rPr>
              <w:t xml:space="preserve"> </w:t>
            </w:r>
            <w:r>
              <w:rPr>
                <w:sz w:val="22"/>
                <w:szCs w:val="22"/>
              </w:rPr>
              <w:t>rādītāju novirzes apmērā</w:t>
            </w:r>
            <w:r w:rsidR="00745118">
              <w:rPr>
                <w:sz w:val="22"/>
                <w:szCs w:val="22"/>
              </w:rPr>
              <w:t xml:space="preserve"> (ja radītāji</w:t>
            </w:r>
            <w:r w:rsidRPr="00AD72FF">
              <w:rPr>
                <w:sz w:val="22"/>
                <w:szCs w:val="22"/>
              </w:rPr>
              <w:t xml:space="preserve"> sasniegti </w:t>
            </w:r>
            <w:r w:rsidR="006A0579" w:rsidRPr="00AD72FF">
              <w:rPr>
                <w:sz w:val="22"/>
                <w:szCs w:val="22"/>
              </w:rPr>
              <w:t>daļēji</w:t>
            </w:r>
            <w:r w:rsidRPr="00AD72FF">
              <w:rPr>
                <w:sz w:val="22"/>
                <w:szCs w:val="22"/>
              </w:rPr>
              <w:t>)</w:t>
            </w:r>
          </w:p>
        </w:tc>
      </w:tr>
      <w:tr w:rsidR="00DD563F" w:rsidRPr="009D07C7" w14:paraId="5802541E" w14:textId="77777777" w:rsidTr="00E569DC">
        <w:tc>
          <w:tcPr>
            <w:tcW w:w="276" w:type="pct"/>
            <w:tcBorders>
              <w:bottom w:val="single" w:sz="4" w:space="0" w:color="auto"/>
            </w:tcBorders>
          </w:tcPr>
          <w:p w14:paraId="2E323A4F" w14:textId="77777777" w:rsidR="00DD563F" w:rsidRPr="009D07C7" w:rsidRDefault="00DD563F" w:rsidP="00E65D59">
            <w:pPr>
              <w:numPr>
                <w:ilvl w:val="0"/>
                <w:numId w:val="1"/>
              </w:numPr>
              <w:rPr>
                <w:sz w:val="22"/>
                <w:szCs w:val="22"/>
              </w:rPr>
            </w:pPr>
          </w:p>
        </w:tc>
        <w:tc>
          <w:tcPr>
            <w:tcW w:w="1726" w:type="pct"/>
            <w:tcBorders>
              <w:bottom w:val="single" w:sz="4" w:space="0" w:color="auto"/>
            </w:tcBorders>
          </w:tcPr>
          <w:p w14:paraId="57F3C0AA" w14:textId="77777777" w:rsidR="00DD563F" w:rsidRPr="00654481" w:rsidRDefault="00DD563F" w:rsidP="00E65D59">
            <w:pPr>
              <w:rPr>
                <w:b/>
                <w:sz w:val="22"/>
                <w:szCs w:val="22"/>
              </w:rPr>
            </w:pPr>
            <w:r w:rsidRPr="00654481">
              <w:rPr>
                <w:b/>
                <w:sz w:val="22"/>
                <w:szCs w:val="22"/>
              </w:rPr>
              <w:t>Būtiskas pārmaiņas</w:t>
            </w:r>
          </w:p>
          <w:p w14:paraId="3D331D0A" w14:textId="77777777" w:rsidR="00E013FC" w:rsidRPr="009D07C7" w:rsidRDefault="00E013FC" w:rsidP="00E65D59">
            <w:pPr>
              <w:rPr>
                <w:sz w:val="22"/>
                <w:szCs w:val="22"/>
              </w:rPr>
            </w:pPr>
          </w:p>
          <w:p w14:paraId="6CEDD5F5" w14:textId="77777777" w:rsidR="00E013FC" w:rsidRPr="009D07C7" w:rsidRDefault="00377335" w:rsidP="00E65D59">
            <w:pPr>
              <w:jc w:val="both"/>
              <w:rPr>
                <w:sz w:val="22"/>
                <w:szCs w:val="22"/>
              </w:rPr>
            </w:pPr>
            <w:r w:rsidRPr="003B1A4F">
              <w:rPr>
                <w:sz w:val="22"/>
                <w:szCs w:val="22"/>
              </w:rPr>
              <w:t>a)</w:t>
            </w:r>
            <w:r w:rsidR="005A0F88">
              <w:rPr>
                <w:sz w:val="22"/>
                <w:szCs w:val="22"/>
              </w:rPr>
              <w:t xml:space="preserve"> </w:t>
            </w:r>
            <w:r w:rsidR="00E013FC" w:rsidRPr="003B1A4F">
              <w:rPr>
                <w:sz w:val="22"/>
                <w:szCs w:val="22"/>
              </w:rPr>
              <w:t xml:space="preserve">Finanšu korekcija var tikt piemērota būtisko pārmaiņu gadījumā atbilstoši Regulas </w:t>
            </w:r>
            <w:r w:rsidR="003B1A4F" w:rsidRPr="003B1A4F">
              <w:rPr>
                <w:sz w:val="22"/>
                <w:szCs w:val="22"/>
              </w:rPr>
              <w:t>Nr.1303/2013 71</w:t>
            </w:r>
            <w:r w:rsidR="00E013FC" w:rsidRPr="003B1A4F">
              <w:rPr>
                <w:sz w:val="22"/>
                <w:szCs w:val="22"/>
              </w:rPr>
              <w:t xml:space="preserve">.pantam, ja projektā </w:t>
            </w:r>
            <w:r w:rsidR="00042AB7" w:rsidRPr="003B1A4F">
              <w:rPr>
                <w:sz w:val="22"/>
                <w:szCs w:val="22"/>
              </w:rPr>
              <w:t>nav iespējams veikt paredzētās darbības atbilstoši projekta mērķim, uzturēt projekta rezultātā radītos infrastruktūras objektus un nodrošināt projekta ilgtspēju pēc tā pabeigšanas</w:t>
            </w:r>
            <w:r w:rsidR="00E013FC" w:rsidRPr="003B1A4F">
              <w:rPr>
                <w:sz w:val="22"/>
                <w:szCs w:val="22"/>
              </w:rPr>
              <w:t>.</w:t>
            </w:r>
          </w:p>
          <w:p w14:paraId="7B360339" w14:textId="77777777" w:rsidR="00145237" w:rsidRPr="009D07C7" w:rsidRDefault="00145237" w:rsidP="00E65D59">
            <w:pPr>
              <w:jc w:val="both"/>
              <w:rPr>
                <w:sz w:val="22"/>
                <w:szCs w:val="22"/>
              </w:rPr>
            </w:pPr>
          </w:p>
          <w:p w14:paraId="62269F36" w14:textId="77777777" w:rsidR="00145237" w:rsidRPr="009D07C7" w:rsidRDefault="00145237" w:rsidP="00E65D59">
            <w:pPr>
              <w:jc w:val="both"/>
              <w:rPr>
                <w:sz w:val="22"/>
                <w:szCs w:val="22"/>
              </w:rPr>
            </w:pPr>
          </w:p>
          <w:p w14:paraId="7EB6BE0B" w14:textId="77777777" w:rsidR="00145237" w:rsidRPr="009D07C7" w:rsidRDefault="00145237" w:rsidP="00E65D59">
            <w:pPr>
              <w:jc w:val="both"/>
              <w:rPr>
                <w:sz w:val="22"/>
                <w:szCs w:val="22"/>
              </w:rPr>
            </w:pPr>
          </w:p>
          <w:p w14:paraId="43A5AD9F" w14:textId="77777777" w:rsidR="00145237" w:rsidRPr="009D07C7" w:rsidRDefault="00145237" w:rsidP="00E65D59">
            <w:pPr>
              <w:jc w:val="both"/>
              <w:rPr>
                <w:sz w:val="22"/>
                <w:szCs w:val="22"/>
              </w:rPr>
            </w:pPr>
          </w:p>
          <w:p w14:paraId="46028FE4" w14:textId="77777777" w:rsidR="00145237" w:rsidRPr="009D07C7" w:rsidRDefault="00145237" w:rsidP="00E65D59">
            <w:pPr>
              <w:jc w:val="both"/>
              <w:rPr>
                <w:sz w:val="22"/>
                <w:szCs w:val="22"/>
              </w:rPr>
            </w:pPr>
          </w:p>
          <w:p w14:paraId="6B570394" w14:textId="77777777" w:rsidR="00145237" w:rsidRPr="009D07C7" w:rsidRDefault="00145237" w:rsidP="00E65D59">
            <w:pPr>
              <w:jc w:val="both"/>
              <w:rPr>
                <w:sz w:val="22"/>
                <w:szCs w:val="22"/>
              </w:rPr>
            </w:pPr>
          </w:p>
          <w:p w14:paraId="0431383C" w14:textId="77777777" w:rsidR="00145237" w:rsidRPr="009D07C7" w:rsidRDefault="00145237" w:rsidP="00E65D59">
            <w:pPr>
              <w:jc w:val="both"/>
              <w:rPr>
                <w:sz w:val="22"/>
                <w:szCs w:val="22"/>
              </w:rPr>
            </w:pPr>
          </w:p>
          <w:p w14:paraId="6F4705D3" w14:textId="77777777" w:rsidR="00145237" w:rsidRPr="009D07C7" w:rsidRDefault="00145237" w:rsidP="00E65D59">
            <w:pPr>
              <w:jc w:val="both"/>
              <w:rPr>
                <w:sz w:val="22"/>
                <w:szCs w:val="22"/>
              </w:rPr>
            </w:pPr>
          </w:p>
          <w:p w14:paraId="12B75A0E" w14:textId="77777777" w:rsidR="00145237" w:rsidRPr="009D07C7" w:rsidRDefault="00145237" w:rsidP="00E65D59">
            <w:pPr>
              <w:jc w:val="both"/>
              <w:rPr>
                <w:sz w:val="22"/>
                <w:szCs w:val="22"/>
              </w:rPr>
            </w:pPr>
          </w:p>
          <w:p w14:paraId="1F067BDE" w14:textId="77777777" w:rsidR="00145237" w:rsidRPr="009D07C7" w:rsidRDefault="00145237" w:rsidP="00E65D59">
            <w:pPr>
              <w:jc w:val="both"/>
              <w:rPr>
                <w:sz w:val="22"/>
                <w:szCs w:val="22"/>
              </w:rPr>
            </w:pPr>
          </w:p>
          <w:p w14:paraId="56CAB0A4" w14:textId="77777777" w:rsidR="00145237" w:rsidRPr="009D07C7" w:rsidRDefault="00145237" w:rsidP="00E65D59">
            <w:pPr>
              <w:jc w:val="both"/>
              <w:rPr>
                <w:sz w:val="22"/>
                <w:szCs w:val="22"/>
              </w:rPr>
            </w:pPr>
          </w:p>
          <w:p w14:paraId="38E757E0" w14:textId="77777777" w:rsidR="00145237" w:rsidRPr="009D07C7" w:rsidRDefault="00145237" w:rsidP="00E65D59">
            <w:pPr>
              <w:jc w:val="both"/>
              <w:rPr>
                <w:sz w:val="22"/>
                <w:szCs w:val="22"/>
              </w:rPr>
            </w:pPr>
          </w:p>
          <w:p w14:paraId="1E22ED1E" w14:textId="77777777" w:rsidR="00145237" w:rsidRPr="009D07C7" w:rsidRDefault="00145237" w:rsidP="00E65D59">
            <w:pPr>
              <w:jc w:val="both"/>
              <w:rPr>
                <w:sz w:val="22"/>
                <w:szCs w:val="22"/>
              </w:rPr>
            </w:pPr>
          </w:p>
          <w:p w14:paraId="3CEF48FA" w14:textId="77777777" w:rsidR="00145237" w:rsidRPr="009D07C7" w:rsidRDefault="00145237" w:rsidP="00E65D59">
            <w:pPr>
              <w:jc w:val="both"/>
              <w:rPr>
                <w:sz w:val="22"/>
                <w:szCs w:val="22"/>
              </w:rPr>
            </w:pPr>
          </w:p>
          <w:p w14:paraId="42CF77AF" w14:textId="77777777" w:rsidR="00145237" w:rsidRPr="009D07C7" w:rsidRDefault="00145237" w:rsidP="00E65D59">
            <w:pPr>
              <w:jc w:val="both"/>
              <w:rPr>
                <w:sz w:val="22"/>
                <w:szCs w:val="22"/>
              </w:rPr>
            </w:pPr>
          </w:p>
          <w:p w14:paraId="2C2F5EC0" w14:textId="77777777" w:rsidR="00145237" w:rsidRPr="009D07C7" w:rsidRDefault="00145237" w:rsidP="00E65D59">
            <w:pPr>
              <w:jc w:val="both"/>
              <w:rPr>
                <w:sz w:val="22"/>
                <w:szCs w:val="22"/>
              </w:rPr>
            </w:pPr>
          </w:p>
          <w:p w14:paraId="3052ADFD" w14:textId="77777777" w:rsidR="00145237" w:rsidRPr="009D07C7" w:rsidRDefault="00145237" w:rsidP="00E65D59">
            <w:pPr>
              <w:jc w:val="both"/>
              <w:rPr>
                <w:sz w:val="22"/>
                <w:szCs w:val="22"/>
              </w:rPr>
            </w:pPr>
          </w:p>
          <w:p w14:paraId="6EE98C43" w14:textId="77777777" w:rsidR="00145237" w:rsidRPr="009D07C7" w:rsidRDefault="00145237" w:rsidP="00E65D59">
            <w:pPr>
              <w:jc w:val="both"/>
              <w:rPr>
                <w:sz w:val="22"/>
                <w:szCs w:val="22"/>
              </w:rPr>
            </w:pPr>
          </w:p>
          <w:p w14:paraId="10B6DFE0" w14:textId="77777777" w:rsidR="00145237" w:rsidRPr="009D07C7" w:rsidRDefault="00145237" w:rsidP="00E65D59">
            <w:pPr>
              <w:jc w:val="both"/>
              <w:rPr>
                <w:sz w:val="22"/>
                <w:szCs w:val="22"/>
              </w:rPr>
            </w:pPr>
          </w:p>
          <w:p w14:paraId="52B75FD4" w14:textId="77777777" w:rsidR="00145237" w:rsidRPr="009D07C7" w:rsidRDefault="00145237" w:rsidP="00E65D59">
            <w:pPr>
              <w:jc w:val="both"/>
              <w:rPr>
                <w:sz w:val="22"/>
                <w:szCs w:val="22"/>
              </w:rPr>
            </w:pPr>
          </w:p>
          <w:p w14:paraId="5FE41E7B" w14:textId="77777777" w:rsidR="00145237" w:rsidRPr="009D07C7" w:rsidRDefault="00145237" w:rsidP="00E65D59">
            <w:pPr>
              <w:jc w:val="both"/>
              <w:rPr>
                <w:sz w:val="22"/>
                <w:szCs w:val="22"/>
              </w:rPr>
            </w:pPr>
          </w:p>
          <w:p w14:paraId="4D72460D" w14:textId="77777777" w:rsidR="00145237" w:rsidRPr="009D07C7" w:rsidRDefault="00145237" w:rsidP="00E65D59">
            <w:pPr>
              <w:jc w:val="both"/>
              <w:rPr>
                <w:sz w:val="22"/>
                <w:szCs w:val="22"/>
              </w:rPr>
            </w:pPr>
          </w:p>
          <w:p w14:paraId="33F633BF" w14:textId="77777777" w:rsidR="00145237" w:rsidRPr="009D07C7" w:rsidRDefault="00145237" w:rsidP="00E65D59">
            <w:pPr>
              <w:jc w:val="both"/>
              <w:rPr>
                <w:sz w:val="22"/>
                <w:szCs w:val="22"/>
              </w:rPr>
            </w:pPr>
          </w:p>
          <w:p w14:paraId="072BE3C2" w14:textId="77777777" w:rsidR="00145237" w:rsidRPr="009D07C7" w:rsidRDefault="00145237" w:rsidP="00E65D59">
            <w:pPr>
              <w:jc w:val="both"/>
              <w:rPr>
                <w:sz w:val="22"/>
                <w:szCs w:val="22"/>
              </w:rPr>
            </w:pPr>
          </w:p>
          <w:p w14:paraId="39CD33E3" w14:textId="77777777" w:rsidR="00145237" w:rsidRPr="009D07C7" w:rsidRDefault="00145237" w:rsidP="00E65D59">
            <w:pPr>
              <w:jc w:val="both"/>
              <w:rPr>
                <w:sz w:val="22"/>
                <w:szCs w:val="22"/>
              </w:rPr>
            </w:pPr>
          </w:p>
          <w:p w14:paraId="104C5DF7" w14:textId="77777777" w:rsidR="00145237" w:rsidRPr="009D07C7" w:rsidRDefault="00145237" w:rsidP="00E65D59">
            <w:pPr>
              <w:jc w:val="both"/>
              <w:rPr>
                <w:sz w:val="22"/>
                <w:szCs w:val="22"/>
              </w:rPr>
            </w:pPr>
          </w:p>
          <w:p w14:paraId="5CBD7FAE" w14:textId="77777777" w:rsidR="00145237" w:rsidRPr="009D07C7" w:rsidRDefault="00145237" w:rsidP="00E65D59">
            <w:pPr>
              <w:jc w:val="both"/>
              <w:rPr>
                <w:sz w:val="22"/>
                <w:szCs w:val="22"/>
              </w:rPr>
            </w:pPr>
          </w:p>
          <w:p w14:paraId="6CD823D4" w14:textId="77777777" w:rsidR="00145237" w:rsidRPr="009D07C7" w:rsidRDefault="00145237" w:rsidP="00E65D59">
            <w:pPr>
              <w:jc w:val="both"/>
              <w:rPr>
                <w:sz w:val="22"/>
                <w:szCs w:val="22"/>
              </w:rPr>
            </w:pPr>
          </w:p>
          <w:p w14:paraId="3AE37241" w14:textId="77777777" w:rsidR="00145237" w:rsidRPr="009D07C7" w:rsidRDefault="00145237" w:rsidP="00E65D59">
            <w:pPr>
              <w:jc w:val="both"/>
              <w:rPr>
                <w:sz w:val="22"/>
                <w:szCs w:val="22"/>
              </w:rPr>
            </w:pPr>
          </w:p>
          <w:p w14:paraId="42A2F35E" w14:textId="77777777" w:rsidR="00145237" w:rsidRPr="009D07C7" w:rsidRDefault="00145237" w:rsidP="00E65D59">
            <w:pPr>
              <w:jc w:val="both"/>
              <w:rPr>
                <w:sz w:val="22"/>
                <w:szCs w:val="22"/>
              </w:rPr>
            </w:pPr>
          </w:p>
          <w:p w14:paraId="005F2921" w14:textId="77777777" w:rsidR="00145237" w:rsidRPr="009D07C7" w:rsidRDefault="00145237" w:rsidP="00E65D59">
            <w:pPr>
              <w:jc w:val="both"/>
              <w:rPr>
                <w:sz w:val="22"/>
                <w:szCs w:val="22"/>
              </w:rPr>
            </w:pPr>
          </w:p>
          <w:p w14:paraId="5DB99181" w14:textId="77777777" w:rsidR="00145237" w:rsidRPr="009D07C7" w:rsidRDefault="00145237" w:rsidP="00E65D59">
            <w:pPr>
              <w:jc w:val="both"/>
              <w:rPr>
                <w:sz w:val="22"/>
                <w:szCs w:val="22"/>
              </w:rPr>
            </w:pPr>
          </w:p>
          <w:p w14:paraId="330FFCC0" w14:textId="77777777" w:rsidR="00145237" w:rsidRPr="009D07C7" w:rsidRDefault="00145237" w:rsidP="00E65D59">
            <w:pPr>
              <w:jc w:val="both"/>
              <w:rPr>
                <w:sz w:val="22"/>
                <w:szCs w:val="22"/>
              </w:rPr>
            </w:pPr>
          </w:p>
          <w:p w14:paraId="07600F6B" w14:textId="77777777" w:rsidR="00145237" w:rsidRPr="009D07C7" w:rsidRDefault="00145237" w:rsidP="00E65D59">
            <w:pPr>
              <w:jc w:val="both"/>
              <w:rPr>
                <w:sz w:val="22"/>
                <w:szCs w:val="22"/>
              </w:rPr>
            </w:pPr>
          </w:p>
          <w:p w14:paraId="0B3C4228" w14:textId="77777777" w:rsidR="00145237" w:rsidRPr="009D07C7" w:rsidRDefault="00145237" w:rsidP="00E65D59">
            <w:pPr>
              <w:jc w:val="both"/>
              <w:rPr>
                <w:sz w:val="22"/>
                <w:szCs w:val="22"/>
              </w:rPr>
            </w:pPr>
          </w:p>
          <w:p w14:paraId="21C2BA8C" w14:textId="77777777" w:rsidR="00145237" w:rsidRPr="009D07C7" w:rsidRDefault="00145237" w:rsidP="00E65D59">
            <w:pPr>
              <w:jc w:val="both"/>
              <w:rPr>
                <w:sz w:val="22"/>
                <w:szCs w:val="22"/>
              </w:rPr>
            </w:pPr>
          </w:p>
          <w:p w14:paraId="467B414F" w14:textId="77777777" w:rsidR="00145237" w:rsidRPr="009D07C7" w:rsidRDefault="00145237" w:rsidP="00E65D59">
            <w:pPr>
              <w:jc w:val="both"/>
              <w:rPr>
                <w:sz w:val="22"/>
                <w:szCs w:val="22"/>
              </w:rPr>
            </w:pPr>
          </w:p>
          <w:p w14:paraId="0185533D" w14:textId="77777777" w:rsidR="00145237" w:rsidRPr="009D07C7" w:rsidRDefault="00145237" w:rsidP="00E65D59">
            <w:pPr>
              <w:jc w:val="both"/>
              <w:rPr>
                <w:sz w:val="22"/>
                <w:szCs w:val="22"/>
              </w:rPr>
            </w:pPr>
          </w:p>
          <w:p w14:paraId="72D6EEF9" w14:textId="77777777" w:rsidR="00145237" w:rsidRPr="009D07C7" w:rsidRDefault="00145237" w:rsidP="00E65D59">
            <w:pPr>
              <w:jc w:val="both"/>
              <w:rPr>
                <w:sz w:val="22"/>
                <w:szCs w:val="22"/>
              </w:rPr>
            </w:pPr>
          </w:p>
          <w:p w14:paraId="3A9ABFEB" w14:textId="77777777" w:rsidR="00145237" w:rsidRPr="009D07C7" w:rsidRDefault="00145237" w:rsidP="00E65D59">
            <w:pPr>
              <w:jc w:val="both"/>
              <w:rPr>
                <w:sz w:val="22"/>
                <w:szCs w:val="22"/>
              </w:rPr>
            </w:pPr>
          </w:p>
          <w:p w14:paraId="5DC16A51" w14:textId="77777777" w:rsidR="00145237" w:rsidRPr="009D07C7" w:rsidRDefault="00145237" w:rsidP="00E65D59">
            <w:pPr>
              <w:jc w:val="both"/>
              <w:rPr>
                <w:sz w:val="22"/>
                <w:szCs w:val="22"/>
              </w:rPr>
            </w:pPr>
          </w:p>
          <w:p w14:paraId="60189E5C" w14:textId="77777777" w:rsidR="00145237" w:rsidRPr="009D07C7" w:rsidRDefault="00145237" w:rsidP="00E65D59">
            <w:pPr>
              <w:jc w:val="both"/>
              <w:rPr>
                <w:sz w:val="22"/>
                <w:szCs w:val="22"/>
              </w:rPr>
            </w:pPr>
          </w:p>
          <w:p w14:paraId="2B800FB5" w14:textId="77777777" w:rsidR="00145237" w:rsidRPr="009D07C7" w:rsidRDefault="00145237" w:rsidP="00E65D59">
            <w:pPr>
              <w:jc w:val="both"/>
              <w:rPr>
                <w:sz w:val="22"/>
                <w:szCs w:val="22"/>
              </w:rPr>
            </w:pPr>
          </w:p>
          <w:p w14:paraId="6AE755E3" w14:textId="77777777" w:rsidR="00145237" w:rsidRPr="009D07C7" w:rsidRDefault="00145237" w:rsidP="00E65D59">
            <w:pPr>
              <w:jc w:val="both"/>
              <w:rPr>
                <w:sz w:val="22"/>
                <w:szCs w:val="22"/>
              </w:rPr>
            </w:pPr>
          </w:p>
          <w:p w14:paraId="47D6DC14" w14:textId="77777777" w:rsidR="00145237" w:rsidRPr="009D07C7" w:rsidRDefault="00145237" w:rsidP="00E65D59">
            <w:pPr>
              <w:jc w:val="both"/>
              <w:rPr>
                <w:sz w:val="22"/>
                <w:szCs w:val="22"/>
              </w:rPr>
            </w:pPr>
          </w:p>
          <w:p w14:paraId="18C5B36D" w14:textId="77777777" w:rsidR="00145237" w:rsidRPr="009D07C7" w:rsidRDefault="00145237" w:rsidP="00E65D59">
            <w:pPr>
              <w:jc w:val="both"/>
              <w:rPr>
                <w:sz w:val="22"/>
                <w:szCs w:val="22"/>
              </w:rPr>
            </w:pPr>
          </w:p>
          <w:p w14:paraId="73810D00" w14:textId="77777777" w:rsidR="00145237" w:rsidRPr="009D07C7" w:rsidRDefault="00145237" w:rsidP="00E65D59">
            <w:pPr>
              <w:jc w:val="both"/>
              <w:rPr>
                <w:sz w:val="22"/>
                <w:szCs w:val="22"/>
              </w:rPr>
            </w:pPr>
          </w:p>
          <w:p w14:paraId="38DC9FE1" w14:textId="77777777" w:rsidR="00145237" w:rsidRPr="009D07C7" w:rsidRDefault="00145237" w:rsidP="00E65D59">
            <w:pPr>
              <w:jc w:val="both"/>
              <w:rPr>
                <w:sz w:val="22"/>
                <w:szCs w:val="22"/>
              </w:rPr>
            </w:pPr>
          </w:p>
          <w:p w14:paraId="02EE3D5B" w14:textId="77777777" w:rsidR="00145237" w:rsidRPr="009D07C7" w:rsidRDefault="00145237" w:rsidP="00E65D59">
            <w:pPr>
              <w:jc w:val="both"/>
              <w:rPr>
                <w:sz w:val="22"/>
                <w:szCs w:val="22"/>
              </w:rPr>
            </w:pPr>
          </w:p>
          <w:p w14:paraId="08B46B88" w14:textId="77777777" w:rsidR="00145237" w:rsidRPr="009D07C7" w:rsidRDefault="00145237" w:rsidP="00E65D59">
            <w:pPr>
              <w:jc w:val="both"/>
              <w:rPr>
                <w:sz w:val="22"/>
                <w:szCs w:val="22"/>
              </w:rPr>
            </w:pPr>
          </w:p>
          <w:p w14:paraId="0C8DFEFA" w14:textId="77777777" w:rsidR="00145237" w:rsidRPr="009D07C7" w:rsidRDefault="00145237" w:rsidP="00E65D59">
            <w:pPr>
              <w:jc w:val="both"/>
              <w:rPr>
                <w:sz w:val="22"/>
                <w:szCs w:val="22"/>
              </w:rPr>
            </w:pPr>
          </w:p>
          <w:p w14:paraId="3E7B7AA1" w14:textId="77777777" w:rsidR="00145237" w:rsidRPr="009D07C7" w:rsidRDefault="00145237" w:rsidP="00E65D59">
            <w:pPr>
              <w:jc w:val="both"/>
              <w:rPr>
                <w:sz w:val="22"/>
                <w:szCs w:val="22"/>
              </w:rPr>
            </w:pPr>
          </w:p>
          <w:p w14:paraId="221C3774" w14:textId="77777777" w:rsidR="00145237" w:rsidRPr="009D07C7" w:rsidRDefault="00145237" w:rsidP="00E65D59">
            <w:pPr>
              <w:jc w:val="both"/>
              <w:rPr>
                <w:sz w:val="22"/>
                <w:szCs w:val="22"/>
              </w:rPr>
            </w:pPr>
          </w:p>
          <w:p w14:paraId="2F881C3B" w14:textId="77777777" w:rsidR="00145237" w:rsidRPr="009D07C7" w:rsidRDefault="00145237" w:rsidP="00E65D59">
            <w:pPr>
              <w:jc w:val="both"/>
              <w:rPr>
                <w:sz w:val="22"/>
                <w:szCs w:val="22"/>
              </w:rPr>
            </w:pPr>
          </w:p>
          <w:p w14:paraId="13AFDB07" w14:textId="77777777" w:rsidR="00145237" w:rsidRPr="009D07C7" w:rsidRDefault="00145237" w:rsidP="00E65D59">
            <w:pPr>
              <w:jc w:val="both"/>
              <w:rPr>
                <w:sz w:val="22"/>
                <w:szCs w:val="22"/>
              </w:rPr>
            </w:pPr>
          </w:p>
          <w:p w14:paraId="5C725BFB" w14:textId="77777777" w:rsidR="00145237" w:rsidRPr="009D07C7" w:rsidRDefault="00145237" w:rsidP="00E65D59">
            <w:pPr>
              <w:jc w:val="both"/>
              <w:rPr>
                <w:sz w:val="22"/>
                <w:szCs w:val="22"/>
              </w:rPr>
            </w:pPr>
          </w:p>
          <w:p w14:paraId="2A3F8E1E" w14:textId="77777777" w:rsidR="00145237" w:rsidRPr="009D07C7" w:rsidRDefault="00145237" w:rsidP="00E65D59">
            <w:pPr>
              <w:jc w:val="both"/>
              <w:rPr>
                <w:sz w:val="22"/>
                <w:szCs w:val="22"/>
              </w:rPr>
            </w:pPr>
          </w:p>
          <w:p w14:paraId="633BD7E2" w14:textId="77777777" w:rsidR="00145237" w:rsidRPr="009D07C7" w:rsidRDefault="00145237" w:rsidP="00E65D59">
            <w:pPr>
              <w:jc w:val="both"/>
              <w:rPr>
                <w:sz w:val="22"/>
                <w:szCs w:val="22"/>
              </w:rPr>
            </w:pPr>
          </w:p>
          <w:p w14:paraId="09D5E1C8" w14:textId="77777777" w:rsidR="00145237" w:rsidRPr="009D07C7" w:rsidRDefault="00145237" w:rsidP="00E65D59">
            <w:pPr>
              <w:jc w:val="both"/>
              <w:rPr>
                <w:sz w:val="22"/>
                <w:szCs w:val="22"/>
              </w:rPr>
            </w:pPr>
          </w:p>
          <w:p w14:paraId="6D435F9D" w14:textId="77777777" w:rsidR="00145237" w:rsidRPr="009D07C7" w:rsidRDefault="00145237" w:rsidP="00E65D59">
            <w:pPr>
              <w:jc w:val="both"/>
              <w:rPr>
                <w:sz w:val="22"/>
                <w:szCs w:val="22"/>
              </w:rPr>
            </w:pPr>
          </w:p>
          <w:p w14:paraId="4CB7FF73" w14:textId="77777777" w:rsidR="00145237" w:rsidRPr="009D07C7" w:rsidRDefault="00145237" w:rsidP="00E65D59">
            <w:pPr>
              <w:jc w:val="both"/>
              <w:rPr>
                <w:sz w:val="22"/>
                <w:szCs w:val="22"/>
              </w:rPr>
            </w:pPr>
          </w:p>
          <w:p w14:paraId="49CFAA88" w14:textId="77777777" w:rsidR="00145237" w:rsidRPr="009D07C7" w:rsidRDefault="00145237" w:rsidP="00E65D59">
            <w:pPr>
              <w:jc w:val="both"/>
              <w:rPr>
                <w:sz w:val="22"/>
                <w:szCs w:val="22"/>
              </w:rPr>
            </w:pPr>
          </w:p>
          <w:p w14:paraId="3ECDEF62" w14:textId="77777777" w:rsidR="00145237" w:rsidRPr="009D07C7" w:rsidRDefault="00145237" w:rsidP="00E65D59">
            <w:pPr>
              <w:jc w:val="both"/>
              <w:rPr>
                <w:sz w:val="22"/>
                <w:szCs w:val="22"/>
              </w:rPr>
            </w:pPr>
          </w:p>
          <w:p w14:paraId="7D65637B" w14:textId="77777777" w:rsidR="00145237" w:rsidRPr="009D07C7" w:rsidRDefault="00145237" w:rsidP="00E65D59">
            <w:pPr>
              <w:jc w:val="both"/>
              <w:rPr>
                <w:sz w:val="22"/>
                <w:szCs w:val="22"/>
              </w:rPr>
            </w:pPr>
          </w:p>
          <w:p w14:paraId="35A66091" w14:textId="77777777" w:rsidR="00145237" w:rsidRPr="009D07C7" w:rsidRDefault="00145237" w:rsidP="00E65D59">
            <w:pPr>
              <w:jc w:val="both"/>
              <w:rPr>
                <w:sz w:val="22"/>
                <w:szCs w:val="22"/>
              </w:rPr>
            </w:pPr>
          </w:p>
          <w:p w14:paraId="4AD37052" w14:textId="77777777" w:rsidR="00145237" w:rsidRPr="009D07C7" w:rsidRDefault="00145237" w:rsidP="00E65D59">
            <w:pPr>
              <w:jc w:val="both"/>
              <w:rPr>
                <w:sz w:val="22"/>
                <w:szCs w:val="22"/>
              </w:rPr>
            </w:pPr>
          </w:p>
          <w:p w14:paraId="2C88C4DE" w14:textId="77777777" w:rsidR="00145237" w:rsidRPr="009D07C7" w:rsidRDefault="00145237" w:rsidP="00E65D59">
            <w:pPr>
              <w:jc w:val="both"/>
              <w:rPr>
                <w:sz w:val="22"/>
                <w:szCs w:val="22"/>
              </w:rPr>
            </w:pPr>
          </w:p>
          <w:p w14:paraId="15F552A4" w14:textId="77777777" w:rsidR="00145237" w:rsidRPr="009D07C7" w:rsidRDefault="00145237" w:rsidP="00E65D59">
            <w:pPr>
              <w:pStyle w:val="Default"/>
              <w:jc w:val="both"/>
              <w:rPr>
                <w:rFonts w:ascii="Times New Roman" w:hAnsi="Times New Roman" w:cs="Times New Roman"/>
                <w:color w:val="auto"/>
                <w:sz w:val="22"/>
                <w:szCs w:val="22"/>
              </w:rPr>
            </w:pPr>
            <w:r w:rsidRPr="005A0F88">
              <w:rPr>
                <w:rFonts w:ascii="Times New Roman" w:hAnsi="Times New Roman" w:cs="Times New Roman"/>
                <w:sz w:val="22"/>
                <w:szCs w:val="22"/>
              </w:rPr>
              <w:t>b)</w:t>
            </w:r>
            <w:r w:rsidRPr="009D07C7">
              <w:rPr>
                <w:sz w:val="22"/>
                <w:szCs w:val="22"/>
              </w:rPr>
              <w:t xml:space="preserve"> </w:t>
            </w:r>
            <w:r w:rsidRPr="009D07C7">
              <w:rPr>
                <w:rFonts w:ascii="Times New Roman" w:hAnsi="Times New Roman" w:cs="Times New Roman"/>
                <w:color w:val="auto"/>
                <w:sz w:val="22"/>
                <w:szCs w:val="22"/>
              </w:rPr>
              <w:t xml:space="preserve">Attiecībā uz projektā paredzētajām iekārtām var būt gadījumi, kad attiecībā uz pašām iekārtām ir iestājušās būtiskas pārmaiņas, bet tās nav ietekmējušas projekta mērķi vai arī viss ES fondu atbalsts netika novirzīts iekārtu iegādei. Tādos gadījumos atbilstoši SIA „Dea </w:t>
            </w:r>
            <w:r w:rsidRPr="009D07C7">
              <w:rPr>
                <w:rFonts w:ascii="Times New Roman" w:hAnsi="Times New Roman" w:cs="Times New Roman"/>
                <w:color w:val="auto"/>
                <w:sz w:val="22"/>
                <w:szCs w:val="22"/>
              </w:rPr>
              <w:lastRenderedPageBreak/>
              <w:t>Baltika</w:t>
            </w:r>
            <w:r w:rsidR="00144CE5" w:rsidRPr="009D07C7">
              <w:rPr>
                <w:rStyle w:val="FootnoteReference"/>
                <w:rFonts w:ascii="Times New Roman" w:hAnsi="Times New Roman" w:cs="Times New Roman"/>
                <w:color w:val="auto"/>
                <w:sz w:val="22"/>
                <w:szCs w:val="22"/>
              </w:rPr>
              <w:footnoteReference w:id="2"/>
            </w:r>
            <w:r w:rsidRPr="009D07C7">
              <w:rPr>
                <w:rFonts w:ascii="Times New Roman" w:hAnsi="Times New Roman" w:cs="Times New Roman"/>
                <w:color w:val="auto"/>
                <w:sz w:val="22"/>
                <w:szCs w:val="22"/>
              </w:rPr>
              <w:t xml:space="preserve">” metodikai par būtiskām pārmaiņām </w:t>
            </w:r>
            <w:r w:rsidR="009E6586" w:rsidRPr="009D07C7">
              <w:rPr>
                <w:rFonts w:ascii="Times New Roman" w:hAnsi="Times New Roman" w:cs="Times New Roman"/>
                <w:color w:val="auto"/>
                <w:sz w:val="22"/>
                <w:szCs w:val="22"/>
              </w:rPr>
              <w:t xml:space="preserve">aicinām </w:t>
            </w:r>
            <w:r w:rsidRPr="009D07C7">
              <w:rPr>
                <w:rFonts w:ascii="Times New Roman" w:hAnsi="Times New Roman" w:cs="Times New Roman"/>
                <w:color w:val="auto"/>
                <w:sz w:val="22"/>
                <w:szCs w:val="22"/>
              </w:rPr>
              <w:t>izmanto</w:t>
            </w:r>
            <w:r w:rsidR="009E6586" w:rsidRPr="009D07C7">
              <w:rPr>
                <w:rFonts w:ascii="Times New Roman" w:hAnsi="Times New Roman" w:cs="Times New Roman"/>
                <w:color w:val="auto"/>
                <w:sz w:val="22"/>
                <w:szCs w:val="22"/>
              </w:rPr>
              <w:t>t</w:t>
            </w:r>
            <w:r w:rsidRPr="009D07C7">
              <w:rPr>
                <w:rFonts w:ascii="Times New Roman" w:hAnsi="Times New Roman" w:cs="Times New Roman"/>
                <w:color w:val="auto"/>
                <w:sz w:val="22"/>
                <w:szCs w:val="22"/>
              </w:rPr>
              <w:t xml:space="preserve"> formulu:</w:t>
            </w:r>
          </w:p>
          <w:p w14:paraId="7F7016D2" w14:textId="77777777" w:rsidR="00145237" w:rsidRPr="009D07C7" w:rsidRDefault="00145237" w:rsidP="00E65D59">
            <w:pPr>
              <w:pStyle w:val="Default"/>
              <w:jc w:val="both"/>
              <w:rPr>
                <w:rFonts w:ascii="Times New Roman" w:hAnsi="Times New Roman" w:cs="Times New Roman"/>
                <w:color w:val="auto"/>
                <w:sz w:val="22"/>
                <w:szCs w:val="22"/>
              </w:rPr>
            </w:pPr>
          </w:p>
          <w:p w14:paraId="0A286DCE" w14:textId="77777777" w:rsidR="00145237" w:rsidRPr="009D07C7" w:rsidRDefault="00145237" w:rsidP="00E65D59">
            <w:pPr>
              <w:pStyle w:val="Default"/>
              <w:jc w:val="both"/>
              <w:rPr>
                <w:rFonts w:ascii="Times New Roman" w:hAnsi="Times New Roman" w:cs="Times New Roman"/>
                <w:color w:val="auto"/>
                <w:sz w:val="22"/>
                <w:szCs w:val="22"/>
              </w:rPr>
            </w:pPr>
            <w:r w:rsidRPr="009D07C7">
              <w:rPr>
                <w:rFonts w:ascii="Times New Roman" w:hAnsi="Times New Roman" w:cs="Times New Roman"/>
                <w:color w:val="auto"/>
                <w:sz w:val="22"/>
                <w:szCs w:val="22"/>
              </w:rPr>
              <w:t>atmaksājamais ES fondu finansējums = (cena + ((cena x 100%)/attiecīgās budžeta kategorijas kopsumma) x citas projekta izmaksas) x atbalsta intensitāte %</w:t>
            </w:r>
          </w:p>
          <w:p w14:paraId="4C092086" w14:textId="77777777" w:rsidR="00145237" w:rsidRPr="009D07C7" w:rsidRDefault="00145237" w:rsidP="00E65D59">
            <w:pPr>
              <w:pStyle w:val="Default"/>
              <w:jc w:val="both"/>
              <w:rPr>
                <w:rFonts w:ascii="Times New Roman" w:hAnsi="Times New Roman" w:cs="Times New Roman"/>
                <w:color w:val="auto"/>
                <w:sz w:val="22"/>
                <w:szCs w:val="22"/>
              </w:rPr>
            </w:pPr>
          </w:p>
          <w:p w14:paraId="1531805C" w14:textId="77777777" w:rsidR="00145237" w:rsidRPr="009D07C7" w:rsidRDefault="00145237" w:rsidP="00E65D59">
            <w:pPr>
              <w:pStyle w:val="Default"/>
              <w:jc w:val="both"/>
              <w:rPr>
                <w:rFonts w:ascii="Times New Roman" w:hAnsi="Times New Roman" w:cs="Times New Roman"/>
                <w:color w:val="auto"/>
                <w:sz w:val="22"/>
                <w:szCs w:val="22"/>
              </w:rPr>
            </w:pPr>
            <w:r w:rsidRPr="009D07C7">
              <w:rPr>
                <w:rFonts w:ascii="Times New Roman" w:hAnsi="Times New Roman" w:cs="Times New Roman"/>
                <w:color w:val="auto"/>
                <w:sz w:val="22"/>
                <w:szCs w:val="22"/>
              </w:rPr>
              <w:t>Atmaksājamo ES fondu līdzfinansējumu veido kopsumma no (1) lietas(-tu), uz kurām ir attiecināmas būtiskas pārmaiņas, cenas saskaņā ar preču pavadzīmi-rēķinu tās iegādes brīdī bez pievienotās vērtības nodokļa (PVN), ja tas projektā ir bijis iekļauts kā neattiecināmā izmaksa, un ar PVN, ja tas ir bijis iekļauts kā attiecināmā izmaksa, un (2) ar lietas iegādi un lietošanu saistītām, projektā iekļautām attiecināmajām administratīvajām, īstenošanas un mērķauditorijas izmaksām, kas tiek aprēķinātas proporcionāli „būtiskās pārmaiņas” īpatsvaram savā budžeta kategorijā (piemēram, iekārtu iegāde), kam tiek piemērota līgumā ar atbalsta saņēmēju noteiktā ES fondu atbalsta intensitāte procentos.</w:t>
            </w:r>
          </w:p>
          <w:p w14:paraId="27160E6F" w14:textId="77777777" w:rsidR="00145237" w:rsidRPr="009D07C7" w:rsidRDefault="00145237" w:rsidP="00E65D59">
            <w:pPr>
              <w:jc w:val="both"/>
              <w:rPr>
                <w:sz w:val="22"/>
                <w:szCs w:val="22"/>
              </w:rPr>
            </w:pPr>
          </w:p>
          <w:p w14:paraId="143476F8" w14:textId="77777777" w:rsidR="000F49C7" w:rsidRPr="009D07C7" w:rsidRDefault="000F49C7" w:rsidP="00E65D59">
            <w:pPr>
              <w:rPr>
                <w:sz w:val="22"/>
                <w:szCs w:val="22"/>
              </w:rPr>
            </w:pPr>
          </w:p>
          <w:p w14:paraId="3BC4B5E0" w14:textId="77777777" w:rsidR="00AF0DAA" w:rsidRPr="009D07C7" w:rsidRDefault="00AF0DAA" w:rsidP="00E65D59">
            <w:pPr>
              <w:rPr>
                <w:sz w:val="22"/>
                <w:szCs w:val="22"/>
              </w:rPr>
            </w:pPr>
          </w:p>
          <w:p w14:paraId="04822B8B" w14:textId="77777777" w:rsidR="00AF0DAA" w:rsidRPr="009D07C7" w:rsidRDefault="00AF0DAA" w:rsidP="00E65D59">
            <w:pPr>
              <w:rPr>
                <w:sz w:val="22"/>
                <w:szCs w:val="22"/>
              </w:rPr>
            </w:pPr>
          </w:p>
          <w:p w14:paraId="10CD2CD2" w14:textId="77777777" w:rsidR="00AF0DAA" w:rsidRPr="009D07C7" w:rsidRDefault="00AF0DAA" w:rsidP="00E65D59">
            <w:pPr>
              <w:rPr>
                <w:sz w:val="22"/>
                <w:szCs w:val="22"/>
              </w:rPr>
            </w:pPr>
          </w:p>
          <w:p w14:paraId="2A3D260B" w14:textId="77777777" w:rsidR="00AF0DAA" w:rsidRPr="009D07C7" w:rsidRDefault="00AF0DAA" w:rsidP="00E65D59">
            <w:pPr>
              <w:rPr>
                <w:sz w:val="22"/>
                <w:szCs w:val="22"/>
              </w:rPr>
            </w:pPr>
          </w:p>
          <w:p w14:paraId="06E93EDA" w14:textId="77777777" w:rsidR="00AF0DAA" w:rsidRPr="009D07C7" w:rsidRDefault="00AF0DAA" w:rsidP="00E65D59">
            <w:pPr>
              <w:rPr>
                <w:sz w:val="22"/>
                <w:szCs w:val="22"/>
              </w:rPr>
            </w:pPr>
          </w:p>
          <w:p w14:paraId="3D1CF648" w14:textId="77777777" w:rsidR="00AF0DAA" w:rsidRPr="009D07C7" w:rsidRDefault="00AF0DAA" w:rsidP="00E65D59">
            <w:pPr>
              <w:rPr>
                <w:sz w:val="22"/>
                <w:szCs w:val="22"/>
              </w:rPr>
            </w:pPr>
          </w:p>
          <w:p w14:paraId="1B20EDC4" w14:textId="77777777" w:rsidR="00B974C2" w:rsidRPr="009D07C7" w:rsidRDefault="00B974C2" w:rsidP="00E65D59">
            <w:pPr>
              <w:rPr>
                <w:sz w:val="22"/>
                <w:szCs w:val="22"/>
              </w:rPr>
            </w:pPr>
          </w:p>
          <w:p w14:paraId="594E483A" w14:textId="77777777" w:rsidR="00B974C2" w:rsidRPr="009D07C7" w:rsidRDefault="00B974C2" w:rsidP="00E65D59">
            <w:pPr>
              <w:rPr>
                <w:sz w:val="22"/>
                <w:szCs w:val="22"/>
              </w:rPr>
            </w:pPr>
          </w:p>
          <w:p w14:paraId="2B35B29C" w14:textId="77777777" w:rsidR="00B974C2" w:rsidRPr="009D07C7" w:rsidRDefault="00B974C2" w:rsidP="00E65D59">
            <w:pPr>
              <w:rPr>
                <w:sz w:val="22"/>
                <w:szCs w:val="22"/>
              </w:rPr>
            </w:pPr>
          </w:p>
          <w:p w14:paraId="4611E6D5" w14:textId="77777777" w:rsidR="00B974C2" w:rsidRPr="009D07C7" w:rsidRDefault="00B974C2" w:rsidP="00E65D59">
            <w:pPr>
              <w:rPr>
                <w:sz w:val="22"/>
                <w:szCs w:val="22"/>
              </w:rPr>
            </w:pPr>
          </w:p>
          <w:p w14:paraId="37D16341" w14:textId="77777777" w:rsidR="00B974C2" w:rsidRPr="009D07C7" w:rsidRDefault="00B974C2" w:rsidP="00E65D59">
            <w:pPr>
              <w:rPr>
                <w:sz w:val="22"/>
                <w:szCs w:val="22"/>
              </w:rPr>
            </w:pPr>
          </w:p>
          <w:p w14:paraId="76D98156" w14:textId="77777777" w:rsidR="00B974C2" w:rsidRPr="009D07C7" w:rsidRDefault="00B974C2" w:rsidP="00E65D59">
            <w:pPr>
              <w:rPr>
                <w:sz w:val="22"/>
                <w:szCs w:val="22"/>
              </w:rPr>
            </w:pPr>
          </w:p>
          <w:p w14:paraId="1143C073" w14:textId="77777777" w:rsidR="00B974C2" w:rsidRPr="009D07C7" w:rsidRDefault="00B974C2" w:rsidP="00E65D59">
            <w:pPr>
              <w:rPr>
                <w:sz w:val="22"/>
                <w:szCs w:val="22"/>
              </w:rPr>
            </w:pPr>
          </w:p>
          <w:p w14:paraId="6F3AA729" w14:textId="77777777" w:rsidR="00B974C2" w:rsidRPr="009D07C7" w:rsidRDefault="00B974C2" w:rsidP="00E65D59">
            <w:pPr>
              <w:rPr>
                <w:sz w:val="22"/>
                <w:szCs w:val="22"/>
              </w:rPr>
            </w:pPr>
          </w:p>
          <w:p w14:paraId="382BB041" w14:textId="77777777" w:rsidR="00B974C2" w:rsidRPr="009D07C7" w:rsidRDefault="00B974C2" w:rsidP="00E65D59">
            <w:pPr>
              <w:rPr>
                <w:sz w:val="22"/>
                <w:szCs w:val="22"/>
              </w:rPr>
            </w:pPr>
          </w:p>
          <w:p w14:paraId="7F1577DD" w14:textId="77777777" w:rsidR="00B974C2" w:rsidRPr="009D07C7" w:rsidRDefault="00B974C2" w:rsidP="00E65D59">
            <w:pPr>
              <w:rPr>
                <w:sz w:val="22"/>
                <w:szCs w:val="22"/>
              </w:rPr>
            </w:pPr>
          </w:p>
          <w:p w14:paraId="75A459B6" w14:textId="77777777" w:rsidR="00B974C2" w:rsidRPr="009D07C7" w:rsidRDefault="00B974C2" w:rsidP="00E65D59">
            <w:pPr>
              <w:rPr>
                <w:sz w:val="22"/>
                <w:szCs w:val="22"/>
              </w:rPr>
            </w:pPr>
          </w:p>
          <w:p w14:paraId="3D1281D8" w14:textId="77777777" w:rsidR="00B974C2" w:rsidRPr="009D07C7" w:rsidRDefault="00B974C2" w:rsidP="00E65D59">
            <w:pPr>
              <w:rPr>
                <w:sz w:val="22"/>
                <w:szCs w:val="22"/>
              </w:rPr>
            </w:pPr>
          </w:p>
          <w:p w14:paraId="0A0C1683" w14:textId="77777777" w:rsidR="00B974C2" w:rsidRPr="009D07C7" w:rsidRDefault="00B974C2" w:rsidP="00E65D59">
            <w:pPr>
              <w:rPr>
                <w:sz w:val="22"/>
                <w:szCs w:val="22"/>
              </w:rPr>
            </w:pPr>
          </w:p>
          <w:p w14:paraId="0CC8474E" w14:textId="77777777" w:rsidR="00B974C2" w:rsidRPr="009D07C7" w:rsidRDefault="00B974C2" w:rsidP="00E65D59">
            <w:pPr>
              <w:rPr>
                <w:sz w:val="22"/>
                <w:szCs w:val="22"/>
              </w:rPr>
            </w:pPr>
          </w:p>
          <w:p w14:paraId="7A643926" w14:textId="77777777" w:rsidR="00B974C2" w:rsidRPr="009D07C7" w:rsidRDefault="00B974C2" w:rsidP="00E65D59">
            <w:pPr>
              <w:rPr>
                <w:sz w:val="22"/>
                <w:szCs w:val="22"/>
              </w:rPr>
            </w:pPr>
          </w:p>
          <w:p w14:paraId="71F16162" w14:textId="77777777" w:rsidR="00B974C2" w:rsidRPr="009D07C7" w:rsidRDefault="00B974C2" w:rsidP="00E65D59">
            <w:pPr>
              <w:rPr>
                <w:sz w:val="22"/>
                <w:szCs w:val="22"/>
              </w:rPr>
            </w:pPr>
          </w:p>
          <w:p w14:paraId="5431F319" w14:textId="77777777" w:rsidR="00B974C2" w:rsidRPr="009D07C7" w:rsidRDefault="00B974C2" w:rsidP="00E65D59">
            <w:pPr>
              <w:rPr>
                <w:sz w:val="22"/>
                <w:szCs w:val="22"/>
              </w:rPr>
            </w:pPr>
          </w:p>
          <w:p w14:paraId="1B47E1B9" w14:textId="77777777" w:rsidR="00B974C2" w:rsidRPr="009D07C7" w:rsidRDefault="00B974C2" w:rsidP="00E65D59">
            <w:pPr>
              <w:rPr>
                <w:sz w:val="22"/>
                <w:szCs w:val="22"/>
              </w:rPr>
            </w:pPr>
          </w:p>
          <w:p w14:paraId="2FAB2F4E" w14:textId="77777777" w:rsidR="00B974C2" w:rsidRPr="009D07C7" w:rsidRDefault="00B974C2" w:rsidP="00E65D59">
            <w:pPr>
              <w:rPr>
                <w:sz w:val="22"/>
                <w:szCs w:val="22"/>
              </w:rPr>
            </w:pPr>
          </w:p>
          <w:p w14:paraId="5542868C" w14:textId="77777777" w:rsidR="00B974C2" w:rsidRPr="009D07C7" w:rsidRDefault="00B974C2" w:rsidP="00E65D59">
            <w:pPr>
              <w:rPr>
                <w:sz w:val="22"/>
                <w:szCs w:val="22"/>
              </w:rPr>
            </w:pPr>
          </w:p>
          <w:p w14:paraId="74308013" w14:textId="77777777" w:rsidR="00B974C2" w:rsidRPr="009D07C7" w:rsidRDefault="00B974C2" w:rsidP="00E65D59">
            <w:pPr>
              <w:rPr>
                <w:sz w:val="22"/>
                <w:szCs w:val="22"/>
              </w:rPr>
            </w:pPr>
          </w:p>
          <w:p w14:paraId="03AE433B" w14:textId="77777777" w:rsidR="00B974C2" w:rsidRPr="009D07C7" w:rsidRDefault="00B974C2" w:rsidP="00E65D59">
            <w:pPr>
              <w:rPr>
                <w:sz w:val="22"/>
                <w:szCs w:val="22"/>
              </w:rPr>
            </w:pPr>
          </w:p>
          <w:p w14:paraId="4F55D851" w14:textId="77777777" w:rsidR="00B974C2" w:rsidRPr="009D07C7" w:rsidRDefault="00B974C2" w:rsidP="00E65D59">
            <w:pPr>
              <w:rPr>
                <w:sz w:val="22"/>
                <w:szCs w:val="22"/>
              </w:rPr>
            </w:pPr>
          </w:p>
          <w:p w14:paraId="2B5889DF" w14:textId="77777777" w:rsidR="00B974C2" w:rsidRPr="009D07C7" w:rsidRDefault="00B974C2" w:rsidP="00E65D59">
            <w:pPr>
              <w:rPr>
                <w:sz w:val="22"/>
                <w:szCs w:val="22"/>
              </w:rPr>
            </w:pPr>
          </w:p>
          <w:p w14:paraId="7EADFFCF" w14:textId="77777777" w:rsidR="00B974C2" w:rsidRPr="009D07C7" w:rsidRDefault="00B974C2" w:rsidP="00E65D59">
            <w:pPr>
              <w:rPr>
                <w:sz w:val="22"/>
                <w:szCs w:val="22"/>
              </w:rPr>
            </w:pPr>
          </w:p>
          <w:p w14:paraId="743B9332" w14:textId="77777777" w:rsidR="00B974C2" w:rsidRPr="009D07C7" w:rsidRDefault="00B974C2" w:rsidP="00E65D59">
            <w:pPr>
              <w:rPr>
                <w:sz w:val="22"/>
                <w:szCs w:val="22"/>
              </w:rPr>
            </w:pPr>
          </w:p>
          <w:p w14:paraId="2C8ACDB1" w14:textId="77777777" w:rsidR="00B974C2" w:rsidRPr="009D07C7" w:rsidRDefault="00B974C2" w:rsidP="00E65D59">
            <w:pPr>
              <w:rPr>
                <w:sz w:val="22"/>
                <w:szCs w:val="22"/>
              </w:rPr>
            </w:pPr>
          </w:p>
          <w:p w14:paraId="6401C1C3" w14:textId="77777777" w:rsidR="00B974C2" w:rsidRPr="009D07C7" w:rsidRDefault="00B974C2" w:rsidP="00E65D59">
            <w:pPr>
              <w:rPr>
                <w:sz w:val="22"/>
                <w:szCs w:val="22"/>
              </w:rPr>
            </w:pPr>
          </w:p>
          <w:p w14:paraId="3273341A" w14:textId="77777777" w:rsidR="00B974C2" w:rsidRPr="009D07C7" w:rsidRDefault="00B974C2" w:rsidP="00E65D59">
            <w:pPr>
              <w:rPr>
                <w:sz w:val="22"/>
                <w:szCs w:val="22"/>
              </w:rPr>
            </w:pPr>
          </w:p>
          <w:p w14:paraId="08A29042" w14:textId="77777777" w:rsidR="00B974C2" w:rsidRPr="009D07C7" w:rsidRDefault="00B974C2" w:rsidP="00E65D59">
            <w:pPr>
              <w:rPr>
                <w:sz w:val="22"/>
                <w:szCs w:val="22"/>
              </w:rPr>
            </w:pPr>
          </w:p>
          <w:p w14:paraId="5F84DA0A" w14:textId="77777777" w:rsidR="00C47CA4" w:rsidRPr="009D07C7" w:rsidRDefault="00C47CA4" w:rsidP="00E65D59">
            <w:pPr>
              <w:rPr>
                <w:sz w:val="22"/>
                <w:szCs w:val="22"/>
              </w:rPr>
            </w:pPr>
          </w:p>
          <w:p w14:paraId="06AD95F7" w14:textId="77777777" w:rsidR="00C47CA4" w:rsidRPr="009D07C7" w:rsidRDefault="00C47CA4" w:rsidP="00E65D59">
            <w:pPr>
              <w:rPr>
                <w:sz w:val="22"/>
                <w:szCs w:val="22"/>
              </w:rPr>
            </w:pPr>
          </w:p>
          <w:p w14:paraId="4C5EE086" w14:textId="77777777" w:rsidR="00C47CA4" w:rsidRPr="009D07C7" w:rsidRDefault="00C47CA4" w:rsidP="00E65D59">
            <w:pPr>
              <w:rPr>
                <w:sz w:val="22"/>
                <w:szCs w:val="22"/>
              </w:rPr>
            </w:pPr>
          </w:p>
          <w:p w14:paraId="6ED84C91" w14:textId="77777777" w:rsidR="00C47CA4" w:rsidRPr="009D07C7" w:rsidRDefault="00C47CA4" w:rsidP="00E65D59">
            <w:pPr>
              <w:rPr>
                <w:sz w:val="22"/>
                <w:szCs w:val="22"/>
              </w:rPr>
            </w:pPr>
          </w:p>
          <w:p w14:paraId="7AFE5959" w14:textId="77777777" w:rsidR="00C47CA4" w:rsidRPr="009D07C7" w:rsidRDefault="00C47CA4" w:rsidP="00E65D59">
            <w:pPr>
              <w:rPr>
                <w:sz w:val="22"/>
                <w:szCs w:val="22"/>
              </w:rPr>
            </w:pPr>
          </w:p>
          <w:p w14:paraId="0AB6A325" w14:textId="77777777" w:rsidR="00C47CA4" w:rsidRPr="009D07C7" w:rsidRDefault="00C47CA4" w:rsidP="00E65D59">
            <w:pPr>
              <w:rPr>
                <w:sz w:val="22"/>
                <w:szCs w:val="22"/>
              </w:rPr>
            </w:pPr>
          </w:p>
          <w:p w14:paraId="1B9D8701" w14:textId="77777777" w:rsidR="00C47CA4" w:rsidRPr="009D07C7" w:rsidRDefault="00C47CA4" w:rsidP="00E65D59">
            <w:pPr>
              <w:rPr>
                <w:sz w:val="22"/>
                <w:szCs w:val="22"/>
              </w:rPr>
            </w:pPr>
          </w:p>
          <w:p w14:paraId="0550EC8F" w14:textId="77777777" w:rsidR="00C47CA4" w:rsidRPr="009D07C7" w:rsidRDefault="00C47CA4" w:rsidP="00E65D59">
            <w:pPr>
              <w:rPr>
                <w:sz w:val="22"/>
                <w:szCs w:val="22"/>
              </w:rPr>
            </w:pPr>
          </w:p>
          <w:p w14:paraId="0C8FF076" w14:textId="77777777" w:rsidR="00C47CA4" w:rsidRPr="009D07C7" w:rsidRDefault="00C47CA4" w:rsidP="00E65D59">
            <w:pPr>
              <w:rPr>
                <w:sz w:val="22"/>
                <w:szCs w:val="22"/>
              </w:rPr>
            </w:pPr>
          </w:p>
          <w:p w14:paraId="09088F6D" w14:textId="77777777" w:rsidR="00C47CA4" w:rsidRPr="009D07C7" w:rsidRDefault="00C47CA4" w:rsidP="00E65D59">
            <w:pPr>
              <w:rPr>
                <w:sz w:val="22"/>
                <w:szCs w:val="22"/>
              </w:rPr>
            </w:pPr>
          </w:p>
          <w:p w14:paraId="2872F0B0" w14:textId="77777777" w:rsidR="00C47CA4" w:rsidRPr="009D07C7" w:rsidRDefault="00C47CA4" w:rsidP="00E65D59">
            <w:pPr>
              <w:rPr>
                <w:sz w:val="22"/>
                <w:szCs w:val="22"/>
              </w:rPr>
            </w:pPr>
          </w:p>
          <w:p w14:paraId="5C884A3B" w14:textId="77777777" w:rsidR="00C47CA4" w:rsidRPr="009D07C7" w:rsidRDefault="00C47CA4" w:rsidP="00E65D59">
            <w:pPr>
              <w:rPr>
                <w:sz w:val="22"/>
                <w:szCs w:val="22"/>
              </w:rPr>
            </w:pPr>
          </w:p>
          <w:p w14:paraId="73949F68" w14:textId="77777777" w:rsidR="00C47CA4" w:rsidRPr="009D07C7" w:rsidRDefault="00C47CA4" w:rsidP="00E65D59">
            <w:pPr>
              <w:rPr>
                <w:sz w:val="22"/>
                <w:szCs w:val="22"/>
              </w:rPr>
            </w:pPr>
          </w:p>
          <w:p w14:paraId="27B46127" w14:textId="77777777" w:rsidR="00C47CA4" w:rsidRPr="009D07C7" w:rsidRDefault="00C47CA4" w:rsidP="00E65D59">
            <w:pPr>
              <w:rPr>
                <w:sz w:val="22"/>
                <w:szCs w:val="22"/>
              </w:rPr>
            </w:pPr>
          </w:p>
          <w:p w14:paraId="4DFFDF1F" w14:textId="77777777" w:rsidR="00C47CA4" w:rsidRPr="009D07C7" w:rsidRDefault="00C47CA4" w:rsidP="00E65D59">
            <w:pPr>
              <w:rPr>
                <w:sz w:val="22"/>
                <w:szCs w:val="22"/>
              </w:rPr>
            </w:pPr>
          </w:p>
          <w:p w14:paraId="6C1F8CD0" w14:textId="77777777" w:rsidR="00C47CA4" w:rsidRPr="009D07C7" w:rsidRDefault="00C47CA4" w:rsidP="00E65D59">
            <w:pPr>
              <w:rPr>
                <w:sz w:val="22"/>
                <w:szCs w:val="22"/>
              </w:rPr>
            </w:pPr>
          </w:p>
          <w:p w14:paraId="1169FEA0" w14:textId="77777777" w:rsidR="00C47CA4" w:rsidRPr="009D07C7" w:rsidRDefault="00C47CA4" w:rsidP="00E65D59">
            <w:pPr>
              <w:rPr>
                <w:sz w:val="22"/>
                <w:szCs w:val="22"/>
              </w:rPr>
            </w:pPr>
          </w:p>
          <w:p w14:paraId="2A5A0BBB" w14:textId="77777777" w:rsidR="00C47CA4" w:rsidRPr="009D07C7" w:rsidRDefault="00C47CA4" w:rsidP="00E65D59">
            <w:pPr>
              <w:rPr>
                <w:sz w:val="22"/>
                <w:szCs w:val="22"/>
              </w:rPr>
            </w:pPr>
          </w:p>
          <w:p w14:paraId="5B80C2F9" w14:textId="77777777" w:rsidR="00C47CA4" w:rsidRPr="009D07C7" w:rsidRDefault="00C47CA4" w:rsidP="00E65D59">
            <w:pPr>
              <w:rPr>
                <w:sz w:val="22"/>
                <w:szCs w:val="22"/>
              </w:rPr>
            </w:pPr>
          </w:p>
          <w:p w14:paraId="75C4B394" w14:textId="77777777" w:rsidR="00C47CA4" w:rsidRPr="009D07C7" w:rsidRDefault="00C47CA4" w:rsidP="00E65D59">
            <w:pPr>
              <w:rPr>
                <w:sz w:val="22"/>
                <w:szCs w:val="22"/>
              </w:rPr>
            </w:pPr>
          </w:p>
          <w:p w14:paraId="162A2EE7" w14:textId="77777777" w:rsidR="00C47CA4" w:rsidRPr="009D07C7" w:rsidRDefault="00C47CA4" w:rsidP="00E65D59">
            <w:pPr>
              <w:rPr>
                <w:sz w:val="22"/>
                <w:szCs w:val="22"/>
              </w:rPr>
            </w:pPr>
          </w:p>
          <w:p w14:paraId="6B560A63" w14:textId="77777777" w:rsidR="00C47CA4" w:rsidRPr="009D07C7" w:rsidRDefault="00C47CA4" w:rsidP="00E65D59">
            <w:pPr>
              <w:rPr>
                <w:sz w:val="22"/>
                <w:szCs w:val="22"/>
              </w:rPr>
            </w:pPr>
          </w:p>
          <w:p w14:paraId="5ED97A30" w14:textId="77777777" w:rsidR="00C47CA4" w:rsidRPr="009D07C7" w:rsidRDefault="00C47CA4" w:rsidP="00E65D59">
            <w:pPr>
              <w:rPr>
                <w:sz w:val="22"/>
                <w:szCs w:val="22"/>
              </w:rPr>
            </w:pPr>
          </w:p>
          <w:p w14:paraId="583177F3" w14:textId="77777777" w:rsidR="00C47CA4" w:rsidRPr="009D07C7" w:rsidRDefault="00C47CA4" w:rsidP="00E65D59">
            <w:pPr>
              <w:rPr>
                <w:sz w:val="22"/>
                <w:szCs w:val="22"/>
              </w:rPr>
            </w:pPr>
          </w:p>
          <w:p w14:paraId="7CD3906C" w14:textId="77777777" w:rsidR="00C47CA4" w:rsidRPr="009D07C7" w:rsidRDefault="00C47CA4" w:rsidP="00E65D59">
            <w:pPr>
              <w:rPr>
                <w:sz w:val="22"/>
                <w:szCs w:val="22"/>
              </w:rPr>
            </w:pPr>
          </w:p>
          <w:p w14:paraId="5B5875B2" w14:textId="77777777" w:rsidR="00C47CA4" w:rsidRPr="009D07C7" w:rsidRDefault="00C47CA4" w:rsidP="00E65D59">
            <w:pPr>
              <w:rPr>
                <w:sz w:val="22"/>
                <w:szCs w:val="22"/>
              </w:rPr>
            </w:pPr>
          </w:p>
          <w:p w14:paraId="6BA80E3F" w14:textId="77777777" w:rsidR="00C47CA4" w:rsidRPr="009D07C7" w:rsidRDefault="00C47CA4" w:rsidP="00E65D59">
            <w:pPr>
              <w:rPr>
                <w:sz w:val="22"/>
                <w:szCs w:val="22"/>
              </w:rPr>
            </w:pPr>
          </w:p>
          <w:p w14:paraId="293765E6" w14:textId="77777777" w:rsidR="00C47CA4" w:rsidRPr="009D07C7" w:rsidRDefault="00C47CA4" w:rsidP="00E65D59">
            <w:pPr>
              <w:rPr>
                <w:sz w:val="22"/>
                <w:szCs w:val="22"/>
              </w:rPr>
            </w:pPr>
          </w:p>
          <w:p w14:paraId="4D4CE851" w14:textId="77777777" w:rsidR="00C47CA4" w:rsidRPr="009D07C7" w:rsidRDefault="00C47CA4" w:rsidP="00E65D59">
            <w:pPr>
              <w:rPr>
                <w:sz w:val="22"/>
                <w:szCs w:val="22"/>
              </w:rPr>
            </w:pPr>
          </w:p>
          <w:p w14:paraId="1A795B5F" w14:textId="77777777" w:rsidR="00C47CA4" w:rsidRPr="009D07C7" w:rsidRDefault="00C47CA4" w:rsidP="00E65D59">
            <w:pPr>
              <w:rPr>
                <w:sz w:val="22"/>
                <w:szCs w:val="22"/>
              </w:rPr>
            </w:pPr>
          </w:p>
          <w:p w14:paraId="3CB30D39" w14:textId="77777777" w:rsidR="00C47CA4" w:rsidRPr="009D07C7" w:rsidRDefault="00C47CA4" w:rsidP="00E65D59">
            <w:pPr>
              <w:rPr>
                <w:sz w:val="22"/>
                <w:szCs w:val="22"/>
              </w:rPr>
            </w:pPr>
          </w:p>
          <w:p w14:paraId="3C0F2903" w14:textId="77777777" w:rsidR="00C47CA4" w:rsidRPr="009D07C7" w:rsidRDefault="00C47CA4" w:rsidP="00E65D59">
            <w:pPr>
              <w:rPr>
                <w:sz w:val="22"/>
                <w:szCs w:val="22"/>
              </w:rPr>
            </w:pPr>
          </w:p>
          <w:p w14:paraId="2CA521BF" w14:textId="77777777" w:rsidR="00AF0DAA" w:rsidRPr="009D07C7" w:rsidRDefault="00AF0DAA" w:rsidP="00E65D59">
            <w:pPr>
              <w:pStyle w:val="Default"/>
              <w:jc w:val="both"/>
              <w:rPr>
                <w:rFonts w:ascii="Times New Roman" w:hAnsi="Times New Roman" w:cs="Times New Roman"/>
                <w:color w:val="auto"/>
                <w:sz w:val="22"/>
                <w:szCs w:val="22"/>
              </w:rPr>
            </w:pPr>
            <w:r w:rsidRPr="00A706A4">
              <w:rPr>
                <w:rFonts w:ascii="Times New Roman" w:hAnsi="Times New Roman" w:cs="Times New Roman"/>
                <w:sz w:val="22"/>
                <w:szCs w:val="22"/>
              </w:rPr>
              <w:t>c)</w:t>
            </w:r>
            <w:r w:rsidRPr="009D07C7">
              <w:rPr>
                <w:sz w:val="22"/>
                <w:szCs w:val="22"/>
              </w:rPr>
              <w:t xml:space="preserve"> </w:t>
            </w:r>
            <w:r w:rsidRPr="009D07C7">
              <w:rPr>
                <w:rFonts w:ascii="Times New Roman" w:hAnsi="Times New Roman" w:cs="Times New Roman"/>
                <w:sz w:val="22"/>
                <w:szCs w:val="22"/>
              </w:rPr>
              <w:t>Finanšu</w:t>
            </w:r>
            <w:r w:rsidRPr="009D07C7">
              <w:rPr>
                <w:sz w:val="22"/>
                <w:szCs w:val="22"/>
              </w:rPr>
              <w:t xml:space="preserve"> </w:t>
            </w:r>
            <w:r w:rsidRPr="009D07C7">
              <w:rPr>
                <w:rFonts w:ascii="Times New Roman" w:hAnsi="Times New Roman" w:cs="Times New Roman"/>
                <w:color w:val="auto"/>
                <w:sz w:val="22"/>
                <w:szCs w:val="22"/>
              </w:rPr>
              <w:t>korekciju var arī piemērot būtisko izmaiņu gadījumā, kad atbalsta saņēmējs ir pārtraucis savu produktīvo darbību (</w:t>
            </w:r>
            <w:r w:rsidR="00555B86" w:rsidRPr="009D07C7">
              <w:rPr>
                <w:rFonts w:ascii="Times New Roman" w:hAnsi="Times New Roman" w:cs="Times New Roman"/>
                <w:color w:val="auto"/>
                <w:sz w:val="22"/>
                <w:szCs w:val="22"/>
              </w:rPr>
              <w:t xml:space="preserve">piemēram, </w:t>
            </w:r>
            <w:r w:rsidRPr="009D07C7">
              <w:rPr>
                <w:rFonts w:ascii="Times New Roman" w:hAnsi="Times New Roman" w:cs="Times New Roman"/>
                <w:color w:val="auto"/>
                <w:sz w:val="22"/>
                <w:szCs w:val="22"/>
              </w:rPr>
              <w:t xml:space="preserve">uzņēmuma likvidācija (izņemot maksātnespējas gadījumus), reorganizācija, pārvietošana un darbības pārtraukšana citu iemeslu dēļ). </w:t>
            </w:r>
          </w:p>
          <w:p w14:paraId="560C6511" w14:textId="77777777" w:rsidR="00AF0DAA" w:rsidRPr="009D07C7" w:rsidRDefault="00AF0DAA" w:rsidP="00E65D59">
            <w:pPr>
              <w:rPr>
                <w:sz w:val="22"/>
                <w:szCs w:val="22"/>
              </w:rPr>
            </w:pPr>
          </w:p>
          <w:p w14:paraId="348E1E5C" w14:textId="77777777" w:rsidR="00AF0DAA" w:rsidRPr="009D07C7" w:rsidRDefault="00AF0DAA" w:rsidP="00E65D59">
            <w:pPr>
              <w:rPr>
                <w:sz w:val="22"/>
                <w:szCs w:val="22"/>
              </w:rPr>
            </w:pPr>
          </w:p>
          <w:p w14:paraId="4B2F7973" w14:textId="77777777" w:rsidR="00F35D9A" w:rsidRPr="009D07C7" w:rsidRDefault="00F35D9A" w:rsidP="00E65D59">
            <w:pPr>
              <w:rPr>
                <w:sz w:val="22"/>
                <w:szCs w:val="22"/>
              </w:rPr>
            </w:pPr>
          </w:p>
          <w:p w14:paraId="77531C4C" w14:textId="77777777" w:rsidR="00EE79A9" w:rsidRPr="009D07C7" w:rsidRDefault="00EE79A9" w:rsidP="00E65D59">
            <w:pPr>
              <w:rPr>
                <w:sz w:val="22"/>
                <w:szCs w:val="22"/>
              </w:rPr>
            </w:pPr>
          </w:p>
          <w:p w14:paraId="4A71828D" w14:textId="77777777" w:rsidR="00563EE9" w:rsidRPr="009D07C7" w:rsidRDefault="00563EE9" w:rsidP="00E65D59">
            <w:pPr>
              <w:rPr>
                <w:sz w:val="22"/>
                <w:szCs w:val="22"/>
              </w:rPr>
            </w:pPr>
          </w:p>
          <w:p w14:paraId="7FAA2745" w14:textId="77777777" w:rsidR="00563EE9" w:rsidRPr="009D07C7" w:rsidRDefault="00563EE9" w:rsidP="00E65D59">
            <w:pPr>
              <w:rPr>
                <w:sz w:val="22"/>
                <w:szCs w:val="22"/>
              </w:rPr>
            </w:pPr>
          </w:p>
          <w:p w14:paraId="3DB19048" w14:textId="77777777" w:rsidR="00563EE9" w:rsidRPr="009D07C7" w:rsidRDefault="00563EE9" w:rsidP="00E65D59">
            <w:pPr>
              <w:rPr>
                <w:sz w:val="22"/>
                <w:szCs w:val="22"/>
              </w:rPr>
            </w:pPr>
          </w:p>
          <w:p w14:paraId="5FF8EAB4" w14:textId="77777777" w:rsidR="00563EE9" w:rsidRPr="009D07C7" w:rsidRDefault="00563EE9" w:rsidP="00E65D59">
            <w:pPr>
              <w:rPr>
                <w:sz w:val="22"/>
                <w:szCs w:val="22"/>
              </w:rPr>
            </w:pPr>
          </w:p>
          <w:p w14:paraId="6B50DF58" w14:textId="77777777" w:rsidR="00563EE9" w:rsidRPr="009D07C7" w:rsidRDefault="00563EE9" w:rsidP="00E65D59">
            <w:pPr>
              <w:rPr>
                <w:sz w:val="22"/>
                <w:szCs w:val="22"/>
              </w:rPr>
            </w:pPr>
          </w:p>
          <w:p w14:paraId="189518A6" w14:textId="77777777" w:rsidR="00563EE9" w:rsidRPr="009D07C7" w:rsidRDefault="00563EE9" w:rsidP="00E65D59">
            <w:pPr>
              <w:rPr>
                <w:sz w:val="22"/>
                <w:szCs w:val="22"/>
              </w:rPr>
            </w:pPr>
          </w:p>
          <w:p w14:paraId="2ADF5E84" w14:textId="77777777" w:rsidR="00563EE9" w:rsidRPr="009D07C7" w:rsidRDefault="00563EE9" w:rsidP="00E65D59">
            <w:pPr>
              <w:rPr>
                <w:sz w:val="22"/>
                <w:szCs w:val="22"/>
              </w:rPr>
            </w:pPr>
          </w:p>
          <w:p w14:paraId="5639A8FF" w14:textId="77777777" w:rsidR="00563EE9" w:rsidRPr="009D07C7" w:rsidRDefault="00563EE9" w:rsidP="00E65D59">
            <w:pPr>
              <w:rPr>
                <w:sz w:val="22"/>
                <w:szCs w:val="22"/>
              </w:rPr>
            </w:pPr>
          </w:p>
          <w:p w14:paraId="7D151D91" w14:textId="77777777" w:rsidR="00563EE9" w:rsidRPr="009D07C7" w:rsidRDefault="00563EE9" w:rsidP="00E65D59">
            <w:pPr>
              <w:rPr>
                <w:sz w:val="22"/>
                <w:szCs w:val="22"/>
              </w:rPr>
            </w:pPr>
          </w:p>
          <w:p w14:paraId="2E1C4933" w14:textId="77777777" w:rsidR="00563EE9" w:rsidRPr="009D07C7" w:rsidRDefault="00563EE9" w:rsidP="00E65D59">
            <w:pPr>
              <w:rPr>
                <w:sz w:val="22"/>
                <w:szCs w:val="22"/>
              </w:rPr>
            </w:pPr>
          </w:p>
          <w:p w14:paraId="0E30F762" w14:textId="77777777" w:rsidR="00563EE9" w:rsidRPr="009D07C7" w:rsidRDefault="00563EE9" w:rsidP="00E65D59">
            <w:pPr>
              <w:rPr>
                <w:sz w:val="22"/>
                <w:szCs w:val="22"/>
              </w:rPr>
            </w:pPr>
          </w:p>
          <w:p w14:paraId="078F1384" w14:textId="77777777" w:rsidR="00563EE9" w:rsidRPr="009D07C7" w:rsidRDefault="00563EE9" w:rsidP="00E65D59">
            <w:pPr>
              <w:rPr>
                <w:sz w:val="22"/>
                <w:szCs w:val="22"/>
              </w:rPr>
            </w:pPr>
          </w:p>
          <w:p w14:paraId="16EC692D" w14:textId="77777777" w:rsidR="00563EE9" w:rsidRPr="009D07C7" w:rsidRDefault="00563EE9" w:rsidP="00E65D59">
            <w:pPr>
              <w:rPr>
                <w:sz w:val="22"/>
                <w:szCs w:val="22"/>
              </w:rPr>
            </w:pPr>
          </w:p>
          <w:p w14:paraId="068B9BFF" w14:textId="77777777" w:rsidR="00563EE9" w:rsidRPr="009D07C7" w:rsidRDefault="00563EE9" w:rsidP="00E65D59">
            <w:pPr>
              <w:rPr>
                <w:sz w:val="22"/>
                <w:szCs w:val="22"/>
              </w:rPr>
            </w:pPr>
          </w:p>
          <w:p w14:paraId="34EC4567" w14:textId="77777777" w:rsidR="00563EE9" w:rsidRPr="009D07C7" w:rsidRDefault="00563EE9" w:rsidP="00E65D59">
            <w:pPr>
              <w:rPr>
                <w:sz w:val="22"/>
                <w:szCs w:val="22"/>
              </w:rPr>
            </w:pPr>
          </w:p>
          <w:p w14:paraId="672F49FF" w14:textId="77777777" w:rsidR="00563EE9" w:rsidRPr="009D07C7" w:rsidRDefault="00563EE9" w:rsidP="00E65D59">
            <w:pPr>
              <w:rPr>
                <w:sz w:val="22"/>
                <w:szCs w:val="22"/>
              </w:rPr>
            </w:pPr>
          </w:p>
          <w:p w14:paraId="1C36A3B7" w14:textId="77777777" w:rsidR="00563EE9" w:rsidRPr="009D07C7" w:rsidRDefault="00563EE9" w:rsidP="00E65D59">
            <w:pPr>
              <w:rPr>
                <w:sz w:val="22"/>
                <w:szCs w:val="22"/>
              </w:rPr>
            </w:pPr>
          </w:p>
          <w:p w14:paraId="7733626B" w14:textId="77777777" w:rsidR="00563EE9" w:rsidRPr="009D07C7" w:rsidRDefault="00563EE9" w:rsidP="00E65D59">
            <w:pPr>
              <w:rPr>
                <w:sz w:val="22"/>
                <w:szCs w:val="22"/>
              </w:rPr>
            </w:pPr>
          </w:p>
          <w:p w14:paraId="095392E4" w14:textId="77777777" w:rsidR="00563EE9" w:rsidRPr="009D07C7" w:rsidRDefault="00563EE9" w:rsidP="00E65D59">
            <w:pPr>
              <w:rPr>
                <w:sz w:val="22"/>
                <w:szCs w:val="22"/>
              </w:rPr>
            </w:pPr>
          </w:p>
          <w:p w14:paraId="6636FD95" w14:textId="77777777" w:rsidR="00563EE9" w:rsidRPr="009D07C7" w:rsidRDefault="00563EE9" w:rsidP="00E65D59">
            <w:pPr>
              <w:rPr>
                <w:sz w:val="22"/>
                <w:szCs w:val="22"/>
              </w:rPr>
            </w:pPr>
          </w:p>
          <w:p w14:paraId="66AB2547" w14:textId="77777777" w:rsidR="00563EE9" w:rsidRPr="009D07C7" w:rsidRDefault="00563EE9" w:rsidP="00E65D59">
            <w:pPr>
              <w:rPr>
                <w:sz w:val="22"/>
                <w:szCs w:val="22"/>
              </w:rPr>
            </w:pPr>
          </w:p>
          <w:p w14:paraId="4EC20110" w14:textId="77777777" w:rsidR="00563EE9" w:rsidRPr="009D07C7" w:rsidRDefault="00563EE9" w:rsidP="00E65D59">
            <w:pPr>
              <w:rPr>
                <w:sz w:val="22"/>
                <w:szCs w:val="22"/>
              </w:rPr>
            </w:pPr>
          </w:p>
          <w:p w14:paraId="03AFAEB7" w14:textId="77777777" w:rsidR="00563EE9" w:rsidRPr="009D07C7" w:rsidRDefault="00563EE9" w:rsidP="00E65D59">
            <w:pPr>
              <w:rPr>
                <w:sz w:val="22"/>
                <w:szCs w:val="22"/>
              </w:rPr>
            </w:pPr>
          </w:p>
          <w:p w14:paraId="05CE452D" w14:textId="77777777" w:rsidR="00563EE9" w:rsidRPr="009D07C7" w:rsidRDefault="00563EE9" w:rsidP="00E65D59">
            <w:pPr>
              <w:rPr>
                <w:sz w:val="22"/>
                <w:szCs w:val="22"/>
              </w:rPr>
            </w:pPr>
          </w:p>
          <w:p w14:paraId="554086A5" w14:textId="77777777" w:rsidR="00563EE9" w:rsidRPr="009D07C7" w:rsidRDefault="00563EE9" w:rsidP="00E65D59">
            <w:pPr>
              <w:rPr>
                <w:sz w:val="22"/>
                <w:szCs w:val="22"/>
              </w:rPr>
            </w:pPr>
          </w:p>
          <w:p w14:paraId="277A43BB" w14:textId="77777777" w:rsidR="00563EE9" w:rsidRPr="009D07C7" w:rsidRDefault="00563EE9" w:rsidP="00E65D59">
            <w:pPr>
              <w:rPr>
                <w:sz w:val="22"/>
                <w:szCs w:val="22"/>
              </w:rPr>
            </w:pPr>
          </w:p>
          <w:p w14:paraId="188523F8" w14:textId="77777777" w:rsidR="00563EE9" w:rsidRPr="009D07C7" w:rsidRDefault="00563EE9" w:rsidP="00E65D59">
            <w:pPr>
              <w:rPr>
                <w:sz w:val="22"/>
                <w:szCs w:val="22"/>
              </w:rPr>
            </w:pPr>
          </w:p>
          <w:p w14:paraId="46C19C10" w14:textId="77777777" w:rsidR="00563EE9" w:rsidRPr="009D07C7" w:rsidRDefault="00563EE9" w:rsidP="00E65D59">
            <w:pPr>
              <w:rPr>
                <w:sz w:val="22"/>
                <w:szCs w:val="22"/>
              </w:rPr>
            </w:pPr>
          </w:p>
          <w:p w14:paraId="0C8CE9C8" w14:textId="77777777" w:rsidR="00563EE9" w:rsidRPr="009D07C7" w:rsidRDefault="00563EE9" w:rsidP="00E65D59">
            <w:pPr>
              <w:rPr>
                <w:sz w:val="22"/>
                <w:szCs w:val="22"/>
              </w:rPr>
            </w:pPr>
          </w:p>
          <w:p w14:paraId="14F15A93" w14:textId="77777777" w:rsidR="00563EE9" w:rsidRPr="009D07C7" w:rsidRDefault="00563EE9" w:rsidP="00E65D59">
            <w:pPr>
              <w:rPr>
                <w:sz w:val="22"/>
                <w:szCs w:val="22"/>
              </w:rPr>
            </w:pPr>
          </w:p>
          <w:p w14:paraId="0A2C86BB" w14:textId="77777777" w:rsidR="00563EE9" w:rsidRPr="009D07C7" w:rsidRDefault="00563EE9" w:rsidP="00E65D59">
            <w:pPr>
              <w:rPr>
                <w:sz w:val="22"/>
                <w:szCs w:val="22"/>
              </w:rPr>
            </w:pPr>
          </w:p>
          <w:p w14:paraId="693978CA" w14:textId="77777777" w:rsidR="009E6586" w:rsidRPr="009D07C7" w:rsidRDefault="009E6586" w:rsidP="00E65D59">
            <w:pPr>
              <w:pStyle w:val="Default"/>
              <w:jc w:val="both"/>
              <w:rPr>
                <w:rFonts w:ascii="Times New Roman" w:hAnsi="Times New Roman" w:cs="Times New Roman"/>
                <w:sz w:val="22"/>
                <w:szCs w:val="22"/>
              </w:rPr>
            </w:pPr>
            <w:r w:rsidRPr="009D07C7">
              <w:rPr>
                <w:rFonts w:ascii="Times New Roman" w:hAnsi="Times New Roman" w:cs="Times New Roman"/>
                <w:sz w:val="22"/>
                <w:szCs w:val="22"/>
              </w:rPr>
              <w:lastRenderedPageBreak/>
              <w:t>d) Finanšu</w:t>
            </w:r>
            <w:r w:rsidRPr="009D07C7">
              <w:rPr>
                <w:sz w:val="22"/>
                <w:szCs w:val="22"/>
              </w:rPr>
              <w:t xml:space="preserve"> </w:t>
            </w:r>
            <w:r w:rsidRPr="009D07C7">
              <w:rPr>
                <w:rFonts w:ascii="Times New Roman" w:hAnsi="Times New Roman" w:cs="Times New Roman"/>
                <w:color w:val="auto"/>
                <w:sz w:val="22"/>
                <w:szCs w:val="22"/>
              </w:rPr>
              <w:t>korekciju var arī piemērot būtisko izmaiņu gadījumā, kad par ES fondu līdzekļiem iegādātā i</w:t>
            </w:r>
            <w:r w:rsidRPr="009D07C7">
              <w:rPr>
                <w:rFonts w:ascii="Times New Roman" w:hAnsi="Times New Roman" w:cs="Times New Roman"/>
                <w:sz w:val="22"/>
                <w:szCs w:val="22"/>
              </w:rPr>
              <w:t>ekārta tiek pārdota.</w:t>
            </w:r>
          </w:p>
          <w:p w14:paraId="5CDBDAD0" w14:textId="77777777" w:rsidR="00EE79A9" w:rsidRPr="009D07C7" w:rsidRDefault="00EE79A9" w:rsidP="00E65D59">
            <w:pPr>
              <w:pStyle w:val="Default"/>
              <w:jc w:val="both"/>
              <w:rPr>
                <w:rFonts w:ascii="Times New Roman" w:hAnsi="Times New Roman" w:cs="Times New Roman"/>
                <w:sz w:val="22"/>
                <w:szCs w:val="22"/>
              </w:rPr>
            </w:pPr>
          </w:p>
          <w:p w14:paraId="796639F2" w14:textId="77777777" w:rsidR="00B974C2" w:rsidRPr="009D07C7" w:rsidRDefault="000A4E16" w:rsidP="00E65D59">
            <w:pPr>
              <w:pStyle w:val="Default"/>
              <w:jc w:val="both"/>
              <w:rPr>
                <w:rFonts w:ascii="Times New Roman" w:hAnsi="Times New Roman" w:cs="Times New Roman"/>
                <w:sz w:val="22"/>
                <w:szCs w:val="22"/>
              </w:rPr>
            </w:pPr>
            <w:r w:rsidRPr="009D07C7">
              <w:rPr>
                <w:rFonts w:ascii="Times New Roman" w:hAnsi="Times New Roman" w:cs="Times New Roman"/>
                <w:sz w:val="22"/>
                <w:szCs w:val="22"/>
              </w:rPr>
              <w:t>e) Pārkāpumi pēcuzraudzības periodā</w:t>
            </w:r>
            <w:r w:rsidR="00EE79A9" w:rsidRPr="009D07C7">
              <w:rPr>
                <w:rFonts w:ascii="Times New Roman" w:hAnsi="Times New Roman" w:cs="Times New Roman"/>
                <w:sz w:val="22"/>
                <w:szCs w:val="22"/>
              </w:rPr>
              <w:t xml:space="preserve"> (izņemot maksātnespējas gadījumus)</w:t>
            </w:r>
          </w:p>
          <w:p w14:paraId="61C9F7B1" w14:textId="77777777" w:rsidR="00563EE9" w:rsidRPr="009D07C7" w:rsidRDefault="00563EE9" w:rsidP="00E65D59">
            <w:pPr>
              <w:pStyle w:val="Default"/>
              <w:jc w:val="both"/>
              <w:rPr>
                <w:rFonts w:ascii="Times New Roman" w:hAnsi="Times New Roman" w:cs="Times New Roman"/>
                <w:sz w:val="22"/>
                <w:szCs w:val="22"/>
              </w:rPr>
            </w:pPr>
          </w:p>
          <w:p w14:paraId="1C302808" w14:textId="77777777" w:rsidR="00563EE9" w:rsidRPr="009D07C7" w:rsidRDefault="00563EE9" w:rsidP="00E65D59">
            <w:pPr>
              <w:pStyle w:val="Default"/>
              <w:jc w:val="both"/>
              <w:rPr>
                <w:rFonts w:ascii="Times New Roman" w:hAnsi="Times New Roman" w:cs="Times New Roman"/>
                <w:sz w:val="22"/>
                <w:szCs w:val="22"/>
              </w:rPr>
            </w:pPr>
          </w:p>
          <w:p w14:paraId="7E7C6F81" w14:textId="77777777" w:rsidR="00F35D9A" w:rsidRDefault="00F35D9A" w:rsidP="00E65D59">
            <w:pPr>
              <w:pStyle w:val="Default"/>
              <w:jc w:val="both"/>
              <w:rPr>
                <w:rFonts w:ascii="Times New Roman" w:hAnsi="Times New Roman" w:cs="Times New Roman"/>
                <w:sz w:val="22"/>
                <w:szCs w:val="22"/>
              </w:rPr>
            </w:pPr>
            <w:r w:rsidRPr="009D07C7">
              <w:rPr>
                <w:rFonts w:ascii="Times New Roman" w:hAnsi="Times New Roman" w:cs="Times New Roman"/>
                <w:sz w:val="22"/>
                <w:szCs w:val="22"/>
              </w:rPr>
              <w:t>Gadījumus, kad tiek uzskatīts, ka nav īstenojušās būtiskās pārmaiņas, kā arī detalizētāku informāciju par būtisko pārmaiņu piemērošanu lūdzam skatīt SIA „Dea Baltika” metodikā</w:t>
            </w:r>
            <w:r w:rsidR="00144CE5" w:rsidRPr="009D07C7">
              <w:rPr>
                <w:rStyle w:val="FootnoteReference"/>
                <w:rFonts w:ascii="Times New Roman" w:hAnsi="Times New Roman" w:cs="Times New Roman"/>
                <w:sz w:val="22"/>
                <w:szCs w:val="22"/>
              </w:rPr>
              <w:footnoteReference w:id="3"/>
            </w:r>
            <w:r w:rsidRPr="009D07C7">
              <w:rPr>
                <w:rFonts w:ascii="Times New Roman" w:hAnsi="Times New Roman" w:cs="Times New Roman"/>
                <w:sz w:val="22"/>
                <w:szCs w:val="22"/>
              </w:rPr>
              <w:t xml:space="preserve"> par būtiskām pārmaiņām</w:t>
            </w:r>
            <w:r w:rsidR="00144CE5" w:rsidRPr="009D07C7">
              <w:rPr>
                <w:rFonts w:ascii="Times New Roman" w:hAnsi="Times New Roman" w:cs="Times New Roman"/>
                <w:sz w:val="22"/>
                <w:szCs w:val="22"/>
              </w:rPr>
              <w:t>.</w:t>
            </w:r>
            <w:r w:rsidRPr="009D07C7">
              <w:rPr>
                <w:rFonts w:ascii="Times New Roman" w:hAnsi="Times New Roman" w:cs="Times New Roman"/>
                <w:sz w:val="22"/>
                <w:szCs w:val="22"/>
              </w:rPr>
              <w:t xml:space="preserve"> </w:t>
            </w:r>
          </w:p>
          <w:p w14:paraId="06CE9556" w14:textId="77777777" w:rsidR="00CE7911" w:rsidRPr="009D07C7" w:rsidRDefault="00CE7911" w:rsidP="00E65D59">
            <w:pPr>
              <w:pStyle w:val="Default"/>
              <w:jc w:val="both"/>
              <w:rPr>
                <w:rFonts w:ascii="Times New Roman" w:hAnsi="Times New Roman" w:cs="Times New Roman"/>
                <w:color w:val="auto"/>
                <w:sz w:val="22"/>
                <w:szCs w:val="22"/>
              </w:rPr>
            </w:pPr>
          </w:p>
        </w:tc>
        <w:tc>
          <w:tcPr>
            <w:tcW w:w="2061" w:type="pct"/>
            <w:tcBorders>
              <w:bottom w:val="single" w:sz="4" w:space="0" w:color="auto"/>
            </w:tcBorders>
          </w:tcPr>
          <w:p w14:paraId="3E43C641" w14:textId="77777777" w:rsidR="00DD563F" w:rsidRPr="009D07C7" w:rsidRDefault="00DD563F" w:rsidP="00E65D59">
            <w:pPr>
              <w:rPr>
                <w:sz w:val="22"/>
                <w:szCs w:val="22"/>
              </w:rPr>
            </w:pPr>
          </w:p>
          <w:p w14:paraId="4919866D" w14:textId="77777777" w:rsidR="00377335" w:rsidRPr="009D07C7" w:rsidRDefault="00377335" w:rsidP="00E65D59">
            <w:pPr>
              <w:rPr>
                <w:sz w:val="22"/>
                <w:szCs w:val="22"/>
              </w:rPr>
            </w:pPr>
          </w:p>
          <w:p w14:paraId="7346E321" w14:textId="77777777" w:rsidR="00C06003" w:rsidRPr="009D07C7" w:rsidRDefault="00C06003" w:rsidP="003C2BFB">
            <w:pPr>
              <w:numPr>
                <w:ilvl w:val="0"/>
                <w:numId w:val="9"/>
              </w:numPr>
              <w:ind w:left="0" w:hanging="283"/>
              <w:jc w:val="both"/>
              <w:rPr>
                <w:sz w:val="22"/>
                <w:szCs w:val="22"/>
              </w:rPr>
            </w:pPr>
            <w:r w:rsidRPr="009D07C7">
              <w:rPr>
                <w:sz w:val="22"/>
                <w:szCs w:val="22"/>
              </w:rPr>
              <w:t xml:space="preserve">Uzņēmums X ir saņēmis ES fondu līdzfinansējumu ar atbalsta intensitāti 60% jeb 600 000 </w:t>
            </w:r>
            <w:r w:rsidR="00051AD6">
              <w:rPr>
                <w:sz w:val="22"/>
                <w:szCs w:val="22"/>
              </w:rPr>
              <w:t>EUR</w:t>
            </w:r>
            <w:r w:rsidRPr="009D07C7">
              <w:rPr>
                <w:sz w:val="22"/>
                <w:szCs w:val="22"/>
              </w:rPr>
              <w:t xml:space="preserve"> apmērā iekārtas iegādei par kopējo summu 1 000 000 </w:t>
            </w:r>
            <w:r w:rsidR="00051AD6">
              <w:rPr>
                <w:sz w:val="22"/>
                <w:szCs w:val="22"/>
              </w:rPr>
              <w:t>EUR</w:t>
            </w:r>
            <w:r w:rsidRPr="009D07C7">
              <w:rPr>
                <w:sz w:val="22"/>
                <w:szCs w:val="22"/>
              </w:rPr>
              <w:t xml:space="preserve">. Iesniedzot projektu ES fondu līdzfinansējuma piesaistei, uzņēmums X pamato, ka iegādātā iekārta piecu gadu laikā ļaus dubultot ražošanas apjomus, kas tiek izvirzīts arī par vienu no projekta ilgtermiņa mērķiem. Trīs gadus pēc ES fondu līdzfinansējuma saņemšanas atbalsta saņēmējs iemaina iegādāto iekārtu pret tādu, kuras cena ir 500 000 </w:t>
            </w:r>
            <w:r w:rsidR="00051AD6">
              <w:rPr>
                <w:sz w:val="22"/>
                <w:szCs w:val="22"/>
              </w:rPr>
              <w:t>EUR</w:t>
            </w:r>
            <w:r w:rsidRPr="009D07C7">
              <w:rPr>
                <w:sz w:val="22"/>
                <w:szCs w:val="22"/>
              </w:rPr>
              <w:t xml:space="preserve"> un uzturēšana izmaksātu mazāk, bet kuras ražošanas jauda ir par 20% zemāka. Šo trīs gadu laikā uzņēmuma ražošanas apjoms ir </w:t>
            </w:r>
            <w:r w:rsidRPr="009D07C7">
              <w:rPr>
                <w:sz w:val="22"/>
                <w:szCs w:val="22"/>
              </w:rPr>
              <w:lastRenderedPageBreak/>
              <w:t xml:space="preserve">pieaudzis par 50%, bet, nomainot iekārtu, tas sāks samazināties, nenodrošinot projektā plānoto apjoma pieaugumu. Šajā gadījumā ir iestājušās būtiskas pārmaiņas, jo iekārtas maiņa ir ietekmējusi projekta mērķi – ražošanas apjoma pieaugumu atbilstoši projekta ilgtermiņa mērķim - un radījusi nepamatotas priekšrocības tai komercsabiedrībai, kuras īpašumā maiņas rezultātā nonāca par ES fondu atbalstu iegādātā iekārta – proti, tā ir ieguvusi īpašumā iekārtu, kuras tirgus cena ir augstāka par iemainītajām iekārtām. Tā kā viss ES fondu atbalsts tika novirzīts iekārtas iegādei, attiecībā uz kuru iestājušās būtiskas pārmaiņas, atbalsta saņēmējam ir jāatmaksā ES fondu piešķirtais līdzfinansējums 100% apmērā, kas ir 600 000 </w:t>
            </w:r>
            <w:r w:rsidR="00051AD6">
              <w:rPr>
                <w:sz w:val="22"/>
                <w:szCs w:val="22"/>
              </w:rPr>
              <w:t>EUR</w:t>
            </w:r>
            <w:r w:rsidRPr="009D07C7">
              <w:rPr>
                <w:sz w:val="22"/>
                <w:szCs w:val="22"/>
              </w:rPr>
              <w:t>.</w:t>
            </w:r>
          </w:p>
          <w:p w14:paraId="01845989" w14:textId="77777777" w:rsidR="00377335" w:rsidRPr="009D07C7" w:rsidRDefault="00377335" w:rsidP="00E65D59">
            <w:pPr>
              <w:rPr>
                <w:sz w:val="22"/>
                <w:szCs w:val="22"/>
              </w:rPr>
            </w:pPr>
          </w:p>
          <w:p w14:paraId="4D6B89A7" w14:textId="77777777" w:rsidR="00A57236" w:rsidRPr="009D07C7" w:rsidRDefault="00A57236" w:rsidP="00E65D59">
            <w:pPr>
              <w:pStyle w:val="Default"/>
              <w:jc w:val="both"/>
              <w:rPr>
                <w:rFonts w:ascii="Times New Roman" w:hAnsi="Times New Roman" w:cs="Times New Roman"/>
                <w:color w:val="auto"/>
                <w:sz w:val="22"/>
                <w:szCs w:val="22"/>
              </w:rPr>
            </w:pPr>
            <w:r w:rsidRPr="009D07C7">
              <w:rPr>
                <w:rFonts w:ascii="Times New Roman" w:hAnsi="Times New Roman" w:cs="Times New Roman"/>
                <w:color w:val="auto"/>
                <w:sz w:val="22"/>
                <w:szCs w:val="22"/>
              </w:rPr>
              <w:t xml:space="preserve">Pilsētas Dome ir saņēmusi ES fondu līdzfinansējumu ar atbalsta intensitāti 85% jeb 850 000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apmērā kultūras nama rekonstrukcijai par kopējo summu 1 000 000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Iesniedzot projektu, Pilsētas Dome ir paredzējusi, ka rekonstruētais kultūras nams sekmēs kultūras attīstību pilsētā. Kultūras nams tiks izmantots dažādu kultūras pasākumu organizēšanai un tā izmantošana nenesīs pašvaldībai peļņu. Taču trīs gadu laikā pēc ES fondu līdzfinansējuma saņemšanas pilsētā tiek uzbūvēts jauns daudzfunkcionāls kultūras centrs (pašvaldības īpašums), kurš daudz labāk pilda kultūras veicināšanas funkciju. Būtiska pārmaiņa</w:t>
            </w:r>
            <w:r w:rsidR="00046478" w:rsidRPr="009D07C7">
              <w:rPr>
                <w:rFonts w:ascii="Times New Roman" w:hAnsi="Times New Roman" w:cs="Times New Roman"/>
                <w:color w:val="auto"/>
                <w:sz w:val="22"/>
                <w:szCs w:val="22"/>
              </w:rPr>
              <w:t>:</w:t>
            </w:r>
            <w:r w:rsidRPr="009D07C7">
              <w:rPr>
                <w:rFonts w:ascii="Times New Roman" w:hAnsi="Times New Roman" w:cs="Times New Roman"/>
                <w:color w:val="auto"/>
                <w:sz w:val="22"/>
                <w:szCs w:val="22"/>
              </w:rPr>
              <w:t xml:space="preserve"> Pilsētas Dome nolemj slēgt izdevīgu un peļņu nesošu ilgtermiņa īres līgumu ar uzņēmumu par kultūras nama telpu iznomāšanu restorānam. Šajā gadījumā ir iestājušās būtiskas pārmaiņas, jo, pirmkārt, tiek ietekmēta darbības būtība, kur kultūras pasākumi tiek aizstāti ar sabiedrisko ēdināšanu, otrkārt, Pilsētas Domei tiek radītas priekšrocības, proti, pretēji projektā prognozētajam Pilsētas Dome gūs peļņu no kultūras nama izīrēšanas, un, treškārt, tiek pārkāpti līgumā paredzētie projekta īstenošanas nosacījumi. Tā kā viss ES fondu līdzfinansējums tika novirzīts kultūras nama rekonstrukcijai (attiecībā uz kuru iestājušās būtiskas pārmaiņas) un ar to saistītām atbalst</w:t>
            </w:r>
            <w:r w:rsidR="005D0915">
              <w:rPr>
                <w:rFonts w:ascii="Times New Roman" w:hAnsi="Times New Roman" w:cs="Times New Roman"/>
                <w:color w:val="auto"/>
                <w:sz w:val="22"/>
                <w:szCs w:val="22"/>
              </w:rPr>
              <w:t xml:space="preserve">āmajām </w:t>
            </w:r>
            <w:r w:rsidR="005D0915">
              <w:rPr>
                <w:rFonts w:ascii="Times New Roman" w:hAnsi="Times New Roman" w:cs="Times New Roman"/>
                <w:color w:val="auto"/>
                <w:sz w:val="22"/>
                <w:szCs w:val="22"/>
              </w:rPr>
              <w:lastRenderedPageBreak/>
              <w:t>darbībām</w:t>
            </w:r>
            <w:r w:rsidRPr="009D07C7">
              <w:rPr>
                <w:rFonts w:ascii="Times New Roman" w:hAnsi="Times New Roman" w:cs="Times New Roman"/>
                <w:color w:val="auto"/>
                <w:sz w:val="22"/>
                <w:szCs w:val="22"/>
              </w:rPr>
              <w:t xml:space="preserve"> (projekta vadībai un publicitātei), tad Pilsētas Domei ES fondu līdzfinansējums ir jāatmaksā 100% apmērā, kas ir 850 000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w:t>
            </w:r>
          </w:p>
          <w:p w14:paraId="318C9DF1" w14:textId="77777777" w:rsidR="00D52432" w:rsidRPr="009D07C7" w:rsidRDefault="00D52432" w:rsidP="00E65D59">
            <w:pPr>
              <w:rPr>
                <w:sz w:val="22"/>
                <w:szCs w:val="22"/>
              </w:rPr>
            </w:pPr>
          </w:p>
          <w:p w14:paraId="7A93F66C" w14:textId="77777777" w:rsidR="00182ACF" w:rsidRPr="009D07C7" w:rsidRDefault="00413D53" w:rsidP="00E65D59">
            <w:pPr>
              <w:pStyle w:val="Default"/>
              <w:jc w:val="both"/>
              <w:rPr>
                <w:rFonts w:ascii="Times New Roman" w:hAnsi="Times New Roman" w:cs="Times New Roman"/>
                <w:color w:val="auto"/>
                <w:sz w:val="22"/>
                <w:szCs w:val="22"/>
              </w:rPr>
            </w:pPr>
            <w:r w:rsidRPr="009D07C7">
              <w:rPr>
                <w:rFonts w:ascii="Times New Roman" w:hAnsi="Times New Roman" w:cs="Times New Roman"/>
                <w:color w:val="auto"/>
                <w:sz w:val="22"/>
                <w:szCs w:val="22"/>
              </w:rPr>
              <w:t xml:space="preserve">Uzņēmums X ir saņēmis ES fondu līdzfinansējumu ar atbalsta intensitāti 60% jeb 600 000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apmērā, lai iegādātos jaudīgas keramikas ražošanas iekārtas par kopējo summu 1 000 000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Iesniedzot projektu ES fondu līdzfinansējuma piesaistei, uzņēmums X pamato, ka iegādātās iekārtas piecu gadu laikā pēc projekta pabeigšanas ļaus dubultot ražošanas apjomus, kas tiek izvirzīts arī par vienu no projekta mērķiem. Divus gadus pēc ES fondu līdzfinansējuma saņemšanas atbalsta saņēmējs piedzīvo finansiālas grūtības, kā dēļ bankā tiek ņemts kredīts, ieķīlājot par ES fondu atbalstu iegādātās iekārtas. Saņemtais kredīts netiek izmantots ražošanas paplašināšanai, bet gan uzņēmuma pašreizējo izmaksu segšanai. Neskatoties uz finansiālajām grūtībām, uzņēmums spēj nodrošināt plānoto ražošanas apjomu pieaugumu, ko nodrošina ieķīlātās ražošanas iekārtas. Šajā gadījumā ir iestājušās būtiskas pārmaiņas, jo tiek pārkāpti darbības īstenošanas noteikumi, t.i., atbalsta līgumā paredzētais aizliegums par ES fondu at</w:t>
            </w:r>
            <w:r w:rsidR="00BF06F9" w:rsidRPr="009D07C7">
              <w:rPr>
                <w:rFonts w:ascii="Times New Roman" w:hAnsi="Times New Roman" w:cs="Times New Roman"/>
                <w:color w:val="auto"/>
                <w:sz w:val="22"/>
                <w:szCs w:val="22"/>
              </w:rPr>
              <w:t>balstu iegādātās lietas ieķīlāt</w:t>
            </w:r>
            <w:r w:rsidRPr="009D07C7">
              <w:rPr>
                <w:rFonts w:ascii="Times New Roman" w:hAnsi="Times New Roman" w:cs="Times New Roman"/>
                <w:color w:val="auto"/>
                <w:sz w:val="22"/>
                <w:szCs w:val="22"/>
              </w:rPr>
              <w:t xml:space="preserve">. </w:t>
            </w:r>
            <w:r w:rsidR="002B7358" w:rsidRPr="009D07C7">
              <w:rPr>
                <w:rFonts w:ascii="Times New Roman" w:hAnsi="Times New Roman" w:cs="Times New Roman"/>
                <w:color w:val="auto"/>
                <w:sz w:val="22"/>
                <w:szCs w:val="22"/>
              </w:rPr>
              <w:t xml:space="preserve">Tā kā viss ES fondu atbalsts tika novirzīts ražošanas iekārtas iegādei, attiecībā uz kuru iestājušās būtiskas pārmaiņas, atbalsta saņēmējam ir jāatmaksā ES fondu piešķirtais līdzfinansējums 100% apmērā, kas ir 600 000 </w:t>
            </w:r>
            <w:r w:rsidR="00051AD6">
              <w:rPr>
                <w:rFonts w:ascii="Times New Roman" w:hAnsi="Times New Roman" w:cs="Times New Roman"/>
                <w:color w:val="auto"/>
                <w:sz w:val="22"/>
                <w:szCs w:val="22"/>
              </w:rPr>
              <w:t>EUR</w:t>
            </w:r>
            <w:r w:rsidR="002B7358" w:rsidRPr="009D07C7">
              <w:rPr>
                <w:rFonts w:ascii="Times New Roman" w:hAnsi="Times New Roman" w:cs="Times New Roman"/>
                <w:color w:val="auto"/>
                <w:sz w:val="22"/>
                <w:szCs w:val="22"/>
              </w:rPr>
              <w:t>. Ja finansējuma saņēmējs, izpildot līguma prasības, informē atbildīgo vai sadarbības iestādi par būtiskajām pārmaiņām, un attiecīgā iestāde, izvērtējot konkrētos apstākļus, atļauj ieķīlāt iegādātās iekārtas, finanšu korekciju nepiemēro.</w:t>
            </w:r>
          </w:p>
          <w:p w14:paraId="19617F34" w14:textId="77777777" w:rsidR="007A0800" w:rsidRDefault="007A0800" w:rsidP="00E65D59">
            <w:pPr>
              <w:pStyle w:val="Default"/>
              <w:jc w:val="both"/>
              <w:rPr>
                <w:rFonts w:ascii="Times New Roman" w:hAnsi="Times New Roman" w:cs="Times New Roman"/>
                <w:color w:val="auto"/>
                <w:sz w:val="22"/>
                <w:szCs w:val="22"/>
              </w:rPr>
            </w:pPr>
          </w:p>
          <w:p w14:paraId="4C59AC01" w14:textId="77777777" w:rsidR="008817EF" w:rsidRPr="009D07C7" w:rsidRDefault="00460B4A" w:rsidP="00E65D59">
            <w:pPr>
              <w:pStyle w:val="Default"/>
              <w:jc w:val="both"/>
              <w:rPr>
                <w:rFonts w:ascii="Times New Roman" w:hAnsi="Times New Roman" w:cs="Times New Roman"/>
                <w:color w:val="auto"/>
                <w:sz w:val="22"/>
                <w:szCs w:val="22"/>
              </w:rPr>
            </w:pPr>
            <w:r w:rsidRPr="009D07C7">
              <w:rPr>
                <w:rFonts w:ascii="Times New Roman" w:hAnsi="Times New Roman" w:cs="Times New Roman"/>
                <w:color w:val="auto"/>
                <w:sz w:val="22"/>
                <w:szCs w:val="22"/>
              </w:rPr>
              <w:t xml:space="preserve">b) </w:t>
            </w:r>
            <w:r w:rsidR="008817EF" w:rsidRPr="009D07C7">
              <w:rPr>
                <w:rFonts w:ascii="Times New Roman" w:hAnsi="Times New Roman" w:cs="Times New Roman"/>
                <w:color w:val="auto"/>
                <w:sz w:val="22"/>
                <w:szCs w:val="22"/>
              </w:rPr>
              <w:t xml:space="preserve">Uzņēmums X ir saņēmis ES fondu līdzfinansējumu ar atbalsta intensitāti 60% jeb 300 000 </w:t>
            </w:r>
            <w:r w:rsidR="00051AD6">
              <w:rPr>
                <w:rFonts w:ascii="Times New Roman" w:hAnsi="Times New Roman" w:cs="Times New Roman"/>
                <w:color w:val="auto"/>
                <w:sz w:val="22"/>
                <w:szCs w:val="22"/>
              </w:rPr>
              <w:t>EUR</w:t>
            </w:r>
            <w:r w:rsidR="008817EF" w:rsidRPr="009D07C7">
              <w:rPr>
                <w:rFonts w:ascii="Times New Roman" w:hAnsi="Times New Roman" w:cs="Times New Roman"/>
                <w:color w:val="auto"/>
                <w:sz w:val="22"/>
                <w:szCs w:val="22"/>
              </w:rPr>
              <w:t xml:space="preserve"> apmērā piecu galdniecības darba galdu iegādei par kopējo summu 500 000 </w:t>
            </w:r>
            <w:r w:rsidR="00051AD6">
              <w:rPr>
                <w:rFonts w:ascii="Times New Roman" w:hAnsi="Times New Roman" w:cs="Times New Roman"/>
                <w:color w:val="auto"/>
                <w:sz w:val="22"/>
                <w:szCs w:val="22"/>
              </w:rPr>
              <w:t>EUR</w:t>
            </w:r>
            <w:r w:rsidR="008817EF" w:rsidRPr="009D07C7">
              <w:rPr>
                <w:rFonts w:ascii="Times New Roman" w:hAnsi="Times New Roman" w:cs="Times New Roman"/>
                <w:color w:val="auto"/>
                <w:sz w:val="22"/>
                <w:szCs w:val="22"/>
              </w:rPr>
              <w:t xml:space="preserve">. Piešķirtā summa paredzēta piecu darbagaldu iegādei (viena darbagalda cena ir 100 000 </w:t>
            </w:r>
            <w:r w:rsidR="00051AD6">
              <w:rPr>
                <w:rFonts w:ascii="Times New Roman" w:hAnsi="Times New Roman" w:cs="Times New Roman"/>
                <w:color w:val="auto"/>
                <w:sz w:val="22"/>
                <w:szCs w:val="22"/>
              </w:rPr>
              <w:t>EUR</w:t>
            </w:r>
            <w:r w:rsidR="008817EF" w:rsidRPr="009D07C7">
              <w:rPr>
                <w:rFonts w:ascii="Times New Roman" w:hAnsi="Times New Roman" w:cs="Times New Roman"/>
                <w:color w:val="auto"/>
                <w:sz w:val="22"/>
                <w:szCs w:val="22"/>
              </w:rPr>
              <w:t xml:space="preserve">) un neietver citas izmaksas (piemēram, administrācijas </w:t>
            </w:r>
            <w:r w:rsidR="008817EF" w:rsidRPr="009D07C7">
              <w:rPr>
                <w:rFonts w:ascii="Times New Roman" w:hAnsi="Times New Roman" w:cs="Times New Roman"/>
                <w:color w:val="auto"/>
                <w:sz w:val="22"/>
                <w:szCs w:val="22"/>
              </w:rPr>
              <w:lastRenderedPageBreak/>
              <w:t>vai publicitātes). Iesniedzot projektu ES fondu līdzfinansējuma piesaistei, uzņēmums pamato, ka iekārtu iegāde radīs piecas jaunas darba vietas un uzņēmuma ražošanas jauda pieaugs par 30% gadā. Pēc ES fondu līdzfinansējuma atmaksas saņemšanas uzņēmums divus no pieciem iegādātajiem darba galdiem uzdāvina savam meitas uzņēmumam, pamatojot, ka darbs uzņēmumā X tiks organizēts divās maiņās, tādejādi radot sešas darba vietas projektā plānoto piecu vietā un palielinās uzņēmuma ražošanas jaudu par 35% gadā, t.i., par 5% vairāk nekā minēts projekta pieteikumā ES fondu līdzfinansējuma saņemšanai. Neskatoties uz to, ka dāvinājums nav ietekmējis darbības būtību, t.i., projektam uzstādītos mērķus ir iespējams sasniegt bez šiem diviem uzdāvinātajiem darba galdiem, ir, pirmkārt, pārkāpti atbalsta līguma nosacījumi</w:t>
            </w:r>
            <w:r w:rsidR="00941C65" w:rsidRPr="009D07C7">
              <w:rPr>
                <w:rFonts w:ascii="Times New Roman" w:hAnsi="Times New Roman" w:cs="Times New Roman"/>
                <w:color w:val="auto"/>
                <w:sz w:val="22"/>
                <w:szCs w:val="22"/>
              </w:rPr>
              <w:t xml:space="preserve"> </w:t>
            </w:r>
            <w:r w:rsidR="008817EF" w:rsidRPr="009D07C7">
              <w:rPr>
                <w:rFonts w:ascii="Times New Roman" w:hAnsi="Times New Roman" w:cs="Times New Roman"/>
                <w:color w:val="auto"/>
                <w:sz w:val="22"/>
                <w:szCs w:val="22"/>
              </w:rPr>
              <w:t xml:space="preserve">un, otrkārt, meitas uzņēmums gūst nepamatotas priekšrocības tirgū attiecībā pret konkurējošiem uzņēmumiem, iegūstot divus darba galdus bez maksas. Tādēļ uzņēmumam X ir jāatmaksā ES fondu piešķirtais līdzfinansējums par diviem uzdāvinātajiem darba galdiem, kuru saskaņā ar formulu aprēķina šādi: (200 000 </w:t>
            </w:r>
            <w:r w:rsidR="00051AD6">
              <w:rPr>
                <w:rFonts w:ascii="Times New Roman" w:hAnsi="Times New Roman" w:cs="Times New Roman"/>
                <w:color w:val="auto"/>
                <w:sz w:val="22"/>
                <w:szCs w:val="22"/>
              </w:rPr>
              <w:t>EUR</w:t>
            </w:r>
            <w:r w:rsidR="008817EF" w:rsidRPr="009D07C7">
              <w:rPr>
                <w:rFonts w:ascii="Times New Roman" w:hAnsi="Times New Roman" w:cs="Times New Roman"/>
                <w:color w:val="auto"/>
                <w:sz w:val="22"/>
                <w:szCs w:val="22"/>
              </w:rPr>
              <w:t xml:space="preserve"> (divi darba galdi) + ((200 000 </w:t>
            </w:r>
            <w:r w:rsidR="00051AD6">
              <w:rPr>
                <w:rFonts w:ascii="Times New Roman" w:hAnsi="Times New Roman" w:cs="Times New Roman"/>
                <w:color w:val="auto"/>
                <w:sz w:val="22"/>
                <w:szCs w:val="22"/>
              </w:rPr>
              <w:t>EUR</w:t>
            </w:r>
            <w:r w:rsidR="008817EF" w:rsidRPr="009D07C7">
              <w:rPr>
                <w:rFonts w:ascii="Times New Roman" w:hAnsi="Times New Roman" w:cs="Times New Roman"/>
                <w:color w:val="auto"/>
                <w:sz w:val="22"/>
                <w:szCs w:val="22"/>
              </w:rPr>
              <w:t xml:space="preserve"> x 100%)/500 000 </w:t>
            </w:r>
            <w:r w:rsidR="00051AD6">
              <w:rPr>
                <w:rFonts w:ascii="Times New Roman" w:hAnsi="Times New Roman" w:cs="Times New Roman"/>
                <w:color w:val="auto"/>
                <w:sz w:val="22"/>
                <w:szCs w:val="22"/>
              </w:rPr>
              <w:t>EUR</w:t>
            </w:r>
            <w:r w:rsidR="008817EF" w:rsidRPr="009D07C7">
              <w:rPr>
                <w:rFonts w:ascii="Times New Roman" w:hAnsi="Times New Roman" w:cs="Times New Roman"/>
                <w:color w:val="auto"/>
                <w:sz w:val="22"/>
                <w:szCs w:val="22"/>
              </w:rPr>
              <w:t xml:space="preserve">) x 0 </w:t>
            </w:r>
            <w:r w:rsidR="00051AD6">
              <w:rPr>
                <w:rFonts w:ascii="Times New Roman" w:hAnsi="Times New Roman" w:cs="Times New Roman"/>
                <w:color w:val="auto"/>
                <w:sz w:val="22"/>
                <w:szCs w:val="22"/>
              </w:rPr>
              <w:t>EUR</w:t>
            </w:r>
            <w:r w:rsidR="008817EF" w:rsidRPr="009D07C7">
              <w:rPr>
                <w:rFonts w:ascii="Times New Roman" w:hAnsi="Times New Roman" w:cs="Times New Roman"/>
                <w:color w:val="auto"/>
                <w:sz w:val="22"/>
                <w:szCs w:val="22"/>
              </w:rPr>
              <w:t xml:space="preserve">) x 60% = 120 000 </w:t>
            </w:r>
            <w:r w:rsidR="00051AD6">
              <w:rPr>
                <w:rFonts w:ascii="Times New Roman" w:hAnsi="Times New Roman" w:cs="Times New Roman"/>
                <w:color w:val="auto"/>
                <w:sz w:val="22"/>
                <w:szCs w:val="22"/>
              </w:rPr>
              <w:t>EUR</w:t>
            </w:r>
            <w:r w:rsidR="008817EF" w:rsidRPr="009D07C7">
              <w:rPr>
                <w:rFonts w:ascii="Times New Roman" w:hAnsi="Times New Roman" w:cs="Times New Roman"/>
                <w:color w:val="auto"/>
                <w:sz w:val="22"/>
                <w:szCs w:val="22"/>
              </w:rPr>
              <w:t>.</w:t>
            </w:r>
          </w:p>
          <w:p w14:paraId="27289275" w14:textId="77777777" w:rsidR="008817EF" w:rsidRPr="009D07C7" w:rsidRDefault="008817EF" w:rsidP="00E65D59">
            <w:pPr>
              <w:rPr>
                <w:sz w:val="22"/>
                <w:szCs w:val="22"/>
              </w:rPr>
            </w:pPr>
          </w:p>
          <w:p w14:paraId="5A876227" w14:textId="77777777" w:rsidR="008817EF" w:rsidRPr="009D07C7" w:rsidRDefault="008817EF" w:rsidP="00E65D59">
            <w:pPr>
              <w:pStyle w:val="Default"/>
              <w:jc w:val="both"/>
              <w:rPr>
                <w:rFonts w:ascii="Times New Roman" w:hAnsi="Times New Roman" w:cs="Times New Roman"/>
                <w:color w:val="auto"/>
                <w:sz w:val="22"/>
                <w:szCs w:val="22"/>
              </w:rPr>
            </w:pPr>
            <w:r w:rsidRPr="009D07C7">
              <w:rPr>
                <w:rFonts w:ascii="Times New Roman" w:hAnsi="Times New Roman" w:cs="Times New Roman"/>
                <w:color w:val="auto"/>
                <w:sz w:val="22"/>
                <w:szCs w:val="22"/>
              </w:rPr>
              <w:t xml:space="preserve">Uzņēmums X ir saņēmis ES fondu līdzfinansējumu ar atbalsta intensitāti 60% jeb 600 000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apmērā ražošanas modernizēšanai un inovatīvu materiālu un metožu ieviešanā par kopējo summu 1 000 000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No projekta kopējām izmaksām 10% jeb 100 000 </w:t>
            </w:r>
            <w:r w:rsidR="005A0F88">
              <w:rPr>
                <w:rFonts w:ascii="Times New Roman" w:hAnsi="Times New Roman" w:cs="Times New Roman"/>
                <w:color w:val="auto"/>
                <w:sz w:val="22"/>
                <w:szCs w:val="22"/>
              </w:rPr>
              <w:t>EUR</w:t>
            </w:r>
            <w:r w:rsidR="005A0F88" w:rsidRPr="009D07C7">
              <w:rPr>
                <w:rFonts w:ascii="Times New Roman" w:hAnsi="Times New Roman" w:cs="Times New Roman"/>
                <w:color w:val="auto"/>
                <w:sz w:val="22"/>
                <w:szCs w:val="22"/>
              </w:rPr>
              <w:t xml:space="preserve"> </w:t>
            </w:r>
            <w:r w:rsidRPr="009D07C7">
              <w:rPr>
                <w:rFonts w:ascii="Times New Roman" w:hAnsi="Times New Roman" w:cs="Times New Roman"/>
                <w:color w:val="auto"/>
                <w:sz w:val="22"/>
                <w:szCs w:val="22"/>
              </w:rPr>
              <w:t xml:space="preserve">ir paredzēti būvniecības izejmateriālu iegādei, kas nepieciešami eksperimentu veikšanai uzlabotu būvmateriālu radīšanai, bet 90% jeb 900 000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 iekārtu iegādei būvmateriālu ražošanas apjomu palielināšanai. Citas izmaksas (piemēram, projekta administrēšanai) projekta budžetā nav iekļautas. Iesniedzot projektu ES fondu līdzfinansējuma piesaistei, uzņēmums pamato, ka iegādātās iekārtas piecu gadu </w:t>
            </w:r>
            <w:r w:rsidRPr="009D07C7">
              <w:rPr>
                <w:rFonts w:ascii="Times New Roman" w:hAnsi="Times New Roman" w:cs="Times New Roman"/>
                <w:color w:val="auto"/>
                <w:sz w:val="22"/>
                <w:szCs w:val="22"/>
              </w:rPr>
              <w:lastRenderedPageBreak/>
              <w:t xml:space="preserve">laikā ļaus dubultot ražošanas apjomus, kas tiek izvirzīts arī par vienu no projekta ilgtermiņa mērķiem. Taču projekta laikā tiek izmantoti tikai 80% no iegādātajiem būvniecības izejmateriāliem (eksperimentiem pietiek ar mazāku daudzumu materiālu), kas ir pietiekami, lai sasniegtu projektā izvirzītos mērķus un rezultatīvos rādītājus. Ar atlikušajiem būvniecības izejmateriāliem (20% no iegādāto būvniecības izejmateriālu apjoma, kas ir 20 000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uzņēmums nolemj veikt atkārtotus eksperimentus pēc trijiem gadiem, tādēļ šajā laikā tas nolemj būvniecības izejmateriālus aizdot un atgūt tad, kad tie būs nepieciešami. Tūlīt pēc projekta īstenošanas pabeigšanas uzņēmums X noslēdz aizdevuma līgumu ar uzņēmumu Y, aizdodot būvniecības izejmateriālus 20 000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vērtībā. Šajā gadījumā ir iestājušās būtiskas pārmaiņas, jo, lai arī būvniecības izejmateriālu aizdošana neietekmē darbības būtību – projekta mērķus uzņēmums sasniedz arī bez 20</w:t>
            </w:r>
            <w:r w:rsidR="00941C65" w:rsidRPr="009D07C7">
              <w:rPr>
                <w:rFonts w:ascii="Times New Roman" w:hAnsi="Times New Roman" w:cs="Times New Roman"/>
                <w:color w:val="auto"/>
                <w:sz w:val="22"/>
                <w:szCs w:val="22"/>
              </w:rPr>
              <w:t>%</w:t>
            </w:r>
            <w:r w:rsidR="0065317C" w:rsidRPr="009D07C7">
              <w:rPr>
                <w:rFonts w:ascii="Times New Roman" w:hAnsi="Times New Roman" w:cs="Times New Roman"/>
                <w:color w:val="auto"/>
                <w:sz w:val="22"/>
                <w:szCs w:val="22"/>
              </w:rPr>
              <w:t xml:space="preserve"> </w:t>
            </w:r>
            <w:r w:rsidRPr="009D07C7">
              <w:rPr>
                <w:rFonts w:ascii="Times New Roman" w:hAnsi="Times New Roman" w:cs="Times New Roman"/>
                <w:color w:val="auto"/>
                <w:sz w:val="22"/>
                <w:szCs w:val="22"/>
              </w:rPr>
              <w:t xml:space="preserve">aizdotajiem materiāliem, tomēr aizdošana ir radījusi nepamatotas priekšrocības komercsabiedrībai, kurai ir iespēja sākumā bez maksas izmantot būvmateriālus, par tiem norēķinoties tikai vēlāk. Tādēļ uzņēmumam X ir jāatmaksā ar būvniecības izejmateriālu iegādi saistītais ES fondu atbalsts, kuru saskaņā ar formulu aprēķina šādi: (20 000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 ((20 000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x</w:t>
            </w:r>
            <w:r w:rsidR="00A706A4">
              <w:rPr>
                <w:rFonts w:ascii="Times New Roman" w:hAnsi="Times New Roman" w:cs="Times New Roman"/>
                <w:color w:val="auto"/>
                <w:sz w:val="22"/>
                <w:szCs w:val="22"/>
              </w:rPr>
              <w:t xml:space="preserve"> </w:t>
            </w:r>
            <w:r w:rsidRPr="009D07C7">
              <w:rPr>
                <w:rFonts w:ascii="Times New Roman" w:hAnsi="Times New Roman" w:cs="Times New Roman"/>
                <w:color w:val="auto"/>
                <w:sz w:val="22"/>
                <w:szCs w:val="22"/>
              </w:rPr>
              <w:t xml:space="preserve">100%)/100 000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x 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 60% = 12</w:t>
            </w:r>
            <w:r w:rsidR="00051AD6">
              <w:rPr>
                <w:rFonts w:ascii="Times New Roman" w:hAnsi="Times New Roman" w:cs="Times New Roman"/>
                <w:color w:val="auto"/>
                <w:sz w:val="22"/>
                <w:szCs w:val="22"/>
              </w:rPr>
              <w:t> </w:t>
            </w:r>
            <w:r w:rsidRPr="009D07C7">
              <w:rPr>
                <w:rFonts w:ascii="Times New Roman" w:hAnsi="Times New Roman" w:cs="Times New Roman"/>
                <w:color w:val="auto"/>
                <w:sz w:val="22"/>
                <w:szCs w:val="22"/>
              </w:rPr>
              <w:t>000</w:t>
            </w:r>
            <w:r w:rsidR="00051AD6">
              <w:rPr>
                <w:rFonts w:ascii="Times New Roman" w:hAnsi="Times New Roman" w:cs="Times New Roman"/>
                <w:color w:val="auto"/>
                <w:sz w:val="22"/>
                <w:szCs w:val="22"/>
              </w:rPr>
              <w:t xml:space="preserve"> EUR</w:t>
            </w:r>
            <w:r w:rsidRPr="009D07C7">
              <w:rPr>
                <w:rFonts w:ascii="Times New Roman" w:hAnsi="Times New Roman" w:cs="Times New Roman"/>
                <w:color w:val="auto"/>
                <w:sz w:val="22"/>
                <w:szCs w:val="22"/>
              </w:rPr>
              <w:t>.</w:t>
            </w:r>
          </w:p>
          <w:p w14:paraId="16CD4F3B" w14:textId="77777777" w:rsidR="00AF0DAA" w:rsidRPr="009D07C7" w:rsidRDefault="00AF0DAA" w:rsidP="00E65D59">
            <w:pPr>
              <w:pStyle w:val="Default"/>
              <w:jc w:val="both"/>
              <w:rPr>
                <w:rFonts w:ascii="Times New Roman" w:hAnsi="Times New Roman" w:cs="Times New Roman"/>
                <w:color w:val="auto"/>
                <w:sz w:val="22"/>
                <w:szCs w:val="22"/>
              </w:rPr>
            </w:pPr>
          </w:p>
          <w:p w14:paraId="5D6554D6" w14:textId="77777777" w:rsidR="00AF0DAA" w:rsidRPr="009D07C7" w:rsidRDefault="00AF0DAA" w:rsidP="00E65D59">
            <w:pPr>
              <w:pStyle w:val="Default"/>
              <w:jc w:val="both"/>
              <w:rPr>
                <w:rFonts w:ascii="Times New Roman" w:hAnsi="Times New Roman" w:cs="Times New Roman"/>
                <w:color w:val="auto"/>
                <w:sz w:val="22"/>
                <w:szCs w:val="22"/>
              </w:rPr>
            </w:pPr>
            <w:r w:rsidRPr="009D07C7">
              <w:rPr>
                <w:rFonts w:ascii="Times New Roman" w:hAnsi="Times New Roman" w:cs="Times New Roman"/>
                <w:color w:val="auto"/>
                <w:sz w:val="22"/>
                <w:szCs w:val="22"/>
              </w:rPr>
              <w:t>c)</w:t>
            </w:r>
            <w:r w:rsidR="008B6D06">
              <w:rPr>
                <w:rFonts w:ascii="Times New Roman" w:hAnsi="Times New Roman" w:cs="Times New Roman"/>
                <w:color w:val="auto"/>
                <w:sz w:val="22"/>
                <w:szCs w:val="22"/>
              </w:rPr>
              <w:t xml:space="preserve"> </w:t>
            </w:r>
            <w:r w:rsidRPr="009D07C7">
              <w:rPr>
                <w:rFonts w:ascii="Times New Roman" w:hAnsi="Times New Roman" w:cs="Times New Roman"/>
                <w:color w:val="auto"/>
                <w:sz w:val="22"/>
                <w:szCs w:val="22"/>
              </w:rPr>
              <w:t xml:space="preserve">Uzņēmums X ir saņēmis ES fondu līdzfinansējumu ar intensitāti 60% jeb 60 000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apmērā bērnudārza ēkas rekonstrukcijai par kopējo summu 100</w:t>
            </w:r>
            <w:r w:rsidR="00A706A4">
              <w:rPr>
                <w:rFonts w:ascii="Times New Roman" w:hAnsi="Times New Roman" w:cs="Times New Roman"/>
                <w:color w:val="auto"/>
                <w:sz w:val="22"/>
                <w:szCs w:val="22"/>
              </w:rPr>
              <w:t> </w:t>
            </w:r>
            <w:r w:rsidRPr="009D07C7">
              <w:rPr>
                <w:rFonts w:ascii="Times New Roman" w:hAnsi="Times New Roman" w:cs="Times New Roman"/>
                <w:color w:val="auto"/>
                <w:sz w:val="22"/>
                <w:szCs w:val="22"/>
              </w:rPr>
              <w:t>000</w:t>
            </w:r>
            <w:r w:rsidR="00A706A4">
              <w:rPr>
                <w:rFonts w:ascii="Times New Roman" w:hAnsi="Times New Roman" w:cs="Times New Roman"/>
                <w:color w:val="auto"/>
                <w:sz w:val="22"/>
                <w:szCs w:val="22"/>
              </w:rPr>
              <w:t xml:space="preserve">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Četrus gadus pēc ES fondu līdzfinansējuma saņemšanas uzņēmums tiek likvidēts. Tā kā uzņēmuma likvidācija ir būtiska pārmaiņa, tad no uzņēmuma tiek piedzīts viss tam izmaksātais ES fondu līdzfinansējums 60 000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apmērā.</w:t>
            </w:r>
          </w:p>
          <w:p w14:paraId="13747DBF" w14:textId="77777777" w:rsidR="00AF0DAA" w:rsidRPr="009D07C7" w:rsidRDefault="00AF0DAA" w:rsidP="00E65D59">
            <w:pPr>
              <w:pStyle w:val="Default"/>
              <w:jc w:val="both"/>
              <w:rPr>
                <w:rFonts w:ascii="Times New Roman" w:hAnsi="Times New Roman" w:cs="Times New Roman"/>
                <w:color w:val="auto"/>
                <w:sz w:val="22"/>
                <w:szCs w:val="22"/>
              </w:rPr>
            </w:pPr>
          </w:p>
          <w:p w14:paraId="7708C05B" w14:textId="77777777" w:rsidR="00AF0DAA" w:rsidRPr="009D07C7" w:rsidRDefault="003B1A4F" w:rsidP="00E65D59">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Pilsētas D</w:t>
            </w:r>
            <w:r w:rsidR="00B5215B" w:rsidRPr="009D07C7">
              <w:rPr>
                <w:rFonts w:ascii="Times New Roman" w:hAnsi="Times New Roman" w:cs="Times New Roman"/>
                <w:color w:val="auto"/>
                <w:sz w:val="22"/>
                <w:szCs w:val="22"/>
              </w:rPr>
              <w:t xml:space="preserve">ome ir saņēmusi ES fondu līdzfinansējumu ar atbalsta intensitāti 85%  jeb 850 000 </w:t>
            </w:r>
            <w:r w:rsidR="00051AD6">
              <w:rPr>
                <w:rFonts w:ascii="Times New Roman" w:hAnsi="Times New Roman" w:cs="Times New Roman"/>
                <w:color w:val="auto"/>
                <w:sz w:val="22"/>
                <w:szCs w:val="22"/>
              </w:rPr>
              <w:t>EUR</w:t>
            </w:r>
            <w:r w:rsidR="00B5215B" w:rsidRPr="009D07C7">
              <w:rPr>
                <w:rFonts w:ascii="Times New Roman" w:hAnsi="Times New Roman" w:cs="Times New Roman"/>
                <w:color w:val="auto"/>
                <w:sz w:val="22"/>
                <w:szCs w:val="22"/>
              </w:rPr>
              <w:t xml:space="preserve"> apmērā ūdenssaimniecības infrastruktūras pakalpojumu uzlabošanai vietējā pašvaldībā, </w:t>
            </w:r>
            <w:r w:rsidR="00B5215B" w:rsidRPr="009D07C7">
              <w:rPr>
                <w:rFonts w:ascii="Times New Roman" w:hAnsi="Times New Roman" w:cs="Times New Roman"/>
                <w:color w:val="auto"/>
                <w:sz w:val="22"/>
                <w:szCs w:val="22"/>
              </w:rPr>
              <w:lastRenderedPageBreak/>
              <w:t xml:space="preserve">kopumā ieguldot 1 000 000 </w:t>
            </w:r>
            <w:r w:rsidR="00051AD6">
              <w:rPr>
                <w:rFonts w:ascii="Times New Roman" w:hAnsi="Times New Roman" w:cs="Times New Roman"/>
                <w:color w:val="auto"/>
                <w:sz w:val="22"/>
                <w:szCs w:val="22"/>
              </w:rPr>
              <w:t>EUR</w:t>
            </w:r>
            <w:r w:rsidR="00B5215B" w:rsidRPr="009D07C7">
              <w:rPr>
                <w:rFonts w:ascii="Times New Roman" w:hAnsi="Times New Roman" w:cs="Times New Roman"/>
                <w:color w:val="auto"/>
                <w:sz w:val="22"/>
                <w:szCs w:val="22"/>
              </w:rPr>
              <w:t xml:space="preserve">. Projekta kopējās izmaksas, kurām proporcionāli to savstarpējam sadalījumam tika piešķirts ES fondu atbalsts, ietver vienu būvdarbu līgumu infrastruktūras uzlabošanai par kopējo summu 900 000 </w:t>
            </w:r>
            <w:r w:rsidR="00051AD6">
              <w:rPr>
                <w:rFonts w:ascii="Times New Roman" w:hAnsi="Times New Roman" w:cs="Times New Roman"/>
                <w:color w:val="auto"/>
                <w:sz w:val="22"/>
                <w:szCs w:val="22"/>
              </w:rPr>
              <w:t>EUR</w:t>
            </w:r>
            <w:r w:rsidR="00B5215B" w:rsidRPr="009D07C7">
              <w:rPr>
                <w:rFonts w:ascii="Times New Roman" w:hAnsi="Times New Roman" w:cs="Times New Roman"/>
                <w:color w:val="auto"/>
                <w:sz w:val="22"/>
                <w:szCs w:val="22"/>
              </w:rPr>
              <w:t xml:space="preserve"> jeb 90% no projekta kopējām izmaksām, kā arī 50 000 </w:t>
            </w:r>
            <w:r w:rsidR="00051AD6">
              <w:rPr>
                <w:rFonts w:ascii="Times New Roman" w:hAnsi="Times New Roman" w:cs="Times New Roman"/>
                <w:color w:val="auto"/>
                <w:sz w:val="22"/>
                <w:szCs w:val="22"/>
              </w:rPr>
              <w:t>EUR</w:t>
            </w:r>
            <w:r w:rsidR="00B5215B" w:rsidRPr="009D07C7">
              <w:rPr>
                <w:rFonts w:ascii="Times New Roman" w:hAnsi="Times New Roman" w:cs="Times New Roman"/>
                <w:color w:val="auto"/>
                <w:sz w:val="22"/>
                <w:szCs w:val="22"/>
              </w:rPr>
              <w:t xml:space="preserve"> jeb 5% projekta administrācijas izmaksas un 50 000 </w:t>
            </w:r>
            <w:r w:rsidR="00051AD6">
              <w:rPr>
                <w:rFonts w:ascii="Times New Roman" w:hAnsi="Times New Roman" w:cs="Times New Roman"/>
                <w:color w:val="auto"/>
                <w:sz w:val="22"/>
                <w:szCs w:val="22"/>
              </w:rPr>
              <w:t>EUR</w:t>
            </w:r>
            <w:r w:rsidR="00B5215B" w:rsidRPr="009D07C7">
              <w:rPr>
                <w:rFonts w:ascii="Times New Roman" w:hAnsi="Times New Roman" w:cs="Times New Roman"/>
                <w:color w:val="auto"/>
                <w:sz w:val="22"/>
                <w:szCs w:val="22"/>
              </w:rPr>
              <w:t xml:space="preserve"> jeb 5% publicitātes izmaksas. Būvdarbu </w:t>
            </w:r>
            <w:smartTag w:uri="schemas-tilde-lv/tildestengine" w:element="veidnes">
              <w:smartTagPr>
                <w:attr w:name="id" w:val="-1"/>
                <w:attr w:name="baseform" w:val="līgums"/>
                <w:attr w:name="text" w:val="līgums"/>
              </w:smartTagPr>
              <w:r w:rsidR="00B5215B" w:rsidRPr="009D07C7">
                <w:rPr>
                  <w:rFonts w:ascii="Times New Roman" w:hAnsi="Times New Roman" w:cs="Times New Roman"/>
                  <w:color w:val="auto"/>
                  <w:sz w:val="22"/>
                  <w:szCs w:val="22"/>
                </w:rPr>
                <w:t>līgums</w:t>
              </w:r>
            </w:smartTag>
            <w:r w:rsidR="00B5215B" w:rsidRPr="009D07C7">
              <w:rPr>
                <w:rFonts w:ascii="Times New Roman" w:hAnsi="Times New Roman" w:cs="Times New Roman"/>
                <w:color w:val="auto"/>
                <w:sz w:val="22"/>
                <w:szCs w:val="22"/>
              </w:rPr>
              <w:t xml:space="preserve"> ietver jaunas infrastruktūras izbūvi un uzstādīšanu (tīkli, caurules, sūkņi u.tml.), kas tiek ietverta Pagasta Padomes bilancē. Pēc diviem gadiem nolūkā attīstīt sabiedrisko pakalpojumu sniegšanu pašvaldībā </w:t>
            </w:r>
            <w:r>
              <w:rPr>
                <w:rFonts w:ascii="Times New Roman" w:hAnsi="Times New Roman" w:cs="Times New Roman"/>
                <w:color w:val="auto"/>
                <w:sz w:val="22"/>
                <w:szCs w:val="22"/>
              </w:rPr>
              <w:t>Pilsētas Dome</w:t>
            </w:r>
            <w:r w:rsidR="00B5215B" w:rsidRPr="009D07C7">
              <w:rPr>
                <w:rFonts w:ascii="Times New Roman" w:hAnsi="Times New Roman" w:cs="Times New Roman"/>
                <w:color w:val="auto"/>
                <w:sz w:val="22"/>
                <w:szCs w:val="22"/>
              </w:rPr>
              <w:t xml:space="preserve"> nolemj šo sektoru privatizēt, nododot visus ar ūdenssaimniecības pakalpojumu sniegšanu saistītos pamatlīdzekļus (tostarp tos, kas iegādāti ar ES fondu atbalstu) komercsabiedrībai, kas turpmāk plāno nodrošināt šos pakalpojumus iedzīvotājiem. Šajā gadījumā ir iestājušās būtiskas pārmaiņas, jo, pirmkārt, ir radītas nepamatotas priekšrocības komercsabiedrībai sava biznesa attīstībai, saņemot bez maksas ar ūdenssaimniecības pakalpojumiem saistītos pamatlīdzekļus, un, otrkārt, ir ietekmēta projekta būtība, jo privatizācijas rezultātā turpmāk pašvaldība nevarēs ietekmēt ūdenssaimniecības pakalpojumu sniegšanu. Tā kā viss ES fondu atbalsts tika novirzīts ūdenssaimniecības infrastruktūras uzlabošanai (attiecībā uz kuru iestājušās būtiskas pārmaiņas) un </w:t>
            </w:r>
            <w:r w:rsidR="005D0915" w:rsidRPr="005D0915">
              <w:rPr>
                <w:rFonts w:ascii="Times New Roman" w:hAnsi="Times New Roman" w:cs="Times New Roman"/>
                <w:color w:val="auto"/>
                <w:sz w:val="22"/>
                <w:szCs w:val="22"/>
              </w:rPr>
              <w:t>ar to saistītajām atbalstāmajām darbībām</w:t>
            </w:r>
            <w:r w:rsidR="005D0915" w:rsidRPr="005D0915" w:rsidDel="005D0915">
              <w:rPr>
                <w:rFonts w:ascii="Times New Roman" w:hAnsi="Times New Roman" w:cs="Times New Roman"/>
                <w:color w:val="auto"/>
                <w:sz w:val="22"/>
                <w:szCs w:val="22"/>
              </w:rPr>
              <w:t xml:space="preserve"> </w:t>
            </w:r>
            <w:r w:rsidR="00B5215B" w:rsidRPr="009D07C7">
              <w:rPr>
                <w:rFonts w:ascii="Times New Roman" w:hAnsi="Times New Roman" w:cs="Times New Roman"/>
                <w:color w:val="auto"/>
                <w:sz w:val="22"/>
                <w:szCs w:val="22"/>
              </w:rPr>
              <w:t xml:space="preserve">(projekta administrācijas un publicitātes izmaksām), atbalsta saņēmējam ir jāatmaksā ES fondu piešķirtais līdzfinansējums 100% apmērā, kas ir 850 000 </w:t>
            </w:r>
            <w:r w:rsidR="00051AD6">
              <w:rPr>
                <w:rFonts w:ascii="Times New Roman" w:hAnsi="Times New Roman" w:cs="Times New Roman"/>
                <w:color w:val="auto"/>
                <w:sz w:val="22"/>
                <w:szCs w:val="22"/>
              </w:rPr>
              <w:t>EUR</w:t>
            </w:r>
            <w:r w:rsidR="00B5215B" w:rsidRPr="009D07C7">
              <w:rPr>
                <w:rFonts w:ascii="Times New Roman" w:hAnsi="Times New Roman" w:cs="Times New Roman"/>
                <w:color w:val="auto"/>
                <w:sz w:val="22"/>
                <w:szCs w:val="22"/>
              </w:rPr>
              <w:t>.</w:t>
            </w:r>
          </w:p>
          <w:p w14:paraId="25C85733" w14:textId="77777777" w:rsidR="00AF0DAA" w:rsidRPr="009D07C7" w:rsidRDefault="00AF0DAA" w:rsidP="00E65D59">
            <w:pPr>
              <w:pStyle w:val="Default"/>
              <w:jc w:val="both"/>
              <w:rPr>
                <w:rFonts w:ascii="Times New Roman" w:hAnsi="Times New Roman" w:cs="Times New Roman"/>
                <w:color w:val="auto"/>
                <w:sz w:val="22"/>
                <w:szCs w:val="22"/>
              </w:rPr>
            </w:pPr>
          </w:p>
          <w:p w14:paraId="11C607FC" w14:textId="6DD4D8FA" w:rsidR="008817EF" w:rsidRPr="009D07C7" w:rsidRDefault="00B5215B" w:rsidP="00E65D59">
            <w:pPr>
              <w:pStyle w:val="Default"/>
              <w:jc w:val="both"/>
              <w:rPr>
                <w:rFonts w:ascii="Times New Roman" w:hAnsi="Times New Roman" w:cs="Times New Roman"/>
                <w:color w:val="auto"/>
                <w:sz w:val="22"/>
                <w:szCs w:val="22"/>
              </w:rPr>
            </w:pPr>
            <w:r w:rsidRPr="009D07C7">
              <w:rPr>
                <w:rFonts w:ascii="Times New Roman" w:hAnsi="Times New Roman" w:cs="Times New Roman"/>
                <w:color w:val="auto"/>
                <w:sz w:val="22"/>
                <w:szCs w:val="22"/>
              </w:rPr>
              <w:t xml:space="preserve">SIA „Latvijas Saldumiņš” ir saņēmis ES fondu līdzfinansējumu ar atbalsta intensitāti 60% jeb 600 000 </w:t>
            </w:r>
            <w:r w:rsidR="003B1A4F">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apmērā, lai dažādotu ražošanu, ietverot ne tika šokolādes, bet arī </w:t>
            </w:r>
            <w:r w:rsidR="00F55E89" w:rsidRPr="009D07C7">
              <w:rPr>
                <w:rFonts w:ascii="Times New Roman" w:hAnsi="Times New Roman" w:cs="Times New Roman"/>
                <w:color w:val="auto"/>
                <w:sz w:val="22"/>
                <w:szCs w:val="22"/>
              </w:rPr>
              <w:t>konditorejas</w:t>
            </w:r>
            <w:r w:rsidRPr="009D07C7">
              <w:rPr>
                <w:rFonts w:ascii="Times New Roman" w:hAnsi="Times New Roman" w:cs="Times New Roman"/>
                <w:color w:val="auto"/>
                <w:sz w:val="22"/>
                <w:szCs w:val="22"/>
              </w:rPr>
              <w:t xml:space="preserve"> izstrādājumu ražošanu. Atbalsts paredzēts </w:t>
            </w:r>
            <w:r w:rsidR="00F55E89" w:rsidRPr="009D07C7">
              <w:rPr>
                <w:rFonts w:ascii="Times New Roman" w:hAnsi="Times New Roman" w:cs="Times New Roman"/>
                <w:color w:val="auto"/>
                <w:sz w:val="22"/>
                <w:szCs w:val="22"/>
              </w:rPr>
              <w:t>konditorejas</w:t>
            </w:r>
            <w:r w:rsidRPr="009D07C7">
              <w:rPr>
                <w:rFonts w:ascii="Times New Roman" w:hAnsi="Times New Roman" w:cs="Times New Roman"/>
                <w:color w:val="auto"/>
                <w:sz w:val="22"/>
                <w:szCs w:val="22"/>
              </w:rPr>
              <w:t xml:space="preserve"> iekārtu iegādei 1 000 000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apmērā, kuras nepieciešamas jaunā </w:t>
            </w:r>
            <w:r w:rsidR="00F55E89" w:rsidRPr="009D07C7">
              <w:rPr>
                <w:rFonts w:ascii="Times New Roman" w:hAnsi="Times New Roman" w:cs="Times New Roman"/>
                <w:color w:val="auto"/>
                <w:sz w:val="22"/>
                <w:szCs w:val="22"/>
              </w:rPr>
              <w:t>konditorejas</w:t>
            </w:r>
            <w:r w:rsidRPr="009D07C7">
              <w:rPr>
                <w:rFonts w:ascii="Times New Roman" w:hAnsi="Times New Roman" w:cs="Times New Roman"/>
                <w:color w:val="auto"/>
                <w:sz w:val="22"/>
                <w:szCs w:val="22"/>
              </w:rPr>
              <w:t xml:space="preserve"> ceha darbībai, un neietver citas izmaksas (piemēram, projekta vadību vai publicitāti). Divus gadus pēc ES fondu </w:t>
            </w:r>
            <w:r w:rsidRPr="009D07C7">
              <w:rPr>
                <w:rFonts w:ascii="Times New Roman" w:hAnsi="Times New Roman" w:cs="Times New Roman"/>
                <w:color w:val="auto"/>
                <w:sz w:val="22"/>
                <w:szCs w:val="22"/>
              </w:rPr>
              <w:lastRenderedPageBreak/>
              <w:t xml:space="preserve">līdzfinansējuma saņemšanas uzņēmums nolemj jauno </w:t>
            </w:r>
            <w:r w:rsidR="00F55E89" w:rsidRPr="009D07C7">
              <w:rPr>
                <w:rFonts w:ascii="Times New Roman" w:hAnsi="Times New Roman" w:cs="Times New Roman"/>
                <w:color w:val="auto"/>
                <w:sz w:val="22"/>
                <w:szCs w:val="22"/>
              </w:rPr>
              <w:t>konditorejas</w:t>
            </w:r>
            <w:r w:rsidRPr="009D07C7">
              <w:rPr>
                <w:rFonts w:ascii="Times New Roman" w:hAnsi="Times New Roman" w:cs="Times New Roman"/>
                <w:color w:val="auto"/>
                <w:sz w:val="22"/>
                <w:szCs w:val="22"/>
              </w:rPr>
              <w:t xml:space="preserve"> cehu pārcelt uz Ukrainu, pamatojot to ar lētākām ražošanas izmaksām. Šajā gadījumā ir iestājušās būtiskās pārmaiņas, jo uzņēmums ir pārtraucis savu produktīvo darbību valstī, kurai ir piešķirts attiecīgais ES fondu atbalsts, tādēļ SIA „Latvijas Saldumiņš” ir jāatmaksā viss tam piešķirtais ES fondu finansējums 600 000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apmērā.</w:t>
            </w:r>
          </w:p>
          <w:p w14:paraId="752D1AD2" w14:textId="77777777" w:rsidR="00B5215B" w:rsidRPr="009D07C7" w:rsidRDefault="00B5215B" w:rsidP="00E65D59">
            <w:pPr>
              <w:pStyle w:val="Default"/>
              <w:jc w:val="both"/>
              <w:rPr>
                <w:rFonts w:ascii="Times New Roman" w:hAnsi="Times New Roman" w:cs="Times New Roman"/>
                <w:color w:val="auto"/>
                <w:sz w:val="22"/>
                <w:szCs w:val="22"/>
              </w:rPr>
            </w:pPr>
          </w:p>
          <w:p w14:paraId="5E6AE70B" w14:textId="77777777" w:rsidR="00EB321D" w:rsidRPr="009D07C7" w:rsidRDefault="00EB321D" w:rsidP="00E65D59">
            <w:pPr>
              <w:pStyle w:val="Default"/>
              <w:jc w:val="both"/>
              <w:rPr>
                <w:rFonts w:ascii="Times New Roman" w:hAnsi="Times New Roman" w:cs="Times New Roman"/>
                <w:color w:val="auto"/>
                <w:sz w:val="22"/>
                <w:szCs w:val="22"/>
              </w:rPr>
            </w:pPr>
            <w:r w:rsidRPr="009D07C7">
              <w:rPr>
                <w:rFonts w:ascii="Times New Roman" w:hAnsi="Times New Roman" w:cs="Times New Roman"/>
                <w:color w:val="auto"/>
                <w:sz w:val="22"/>
                <w:szCs w:val="22"/>
              </w:rPr>
              <w:t>Izņēmums – darbības pārtraukšana uz laiku:</w:t>
            </w:r>
          </w:p>
          <w:p w14:paraId="462E7B78" w14:textId="4EB73FAF" w:rsidR="00B5215B" w:rsidRPr="009D07C7" w:rsidRDefault="00B5215B" w:rsidP="00E65D59">
            <w:pPr>
              <w:pStyle w:val="Default"/>
              <w:jc w:val="both"/>
              <w:rPr>
                <w:rFonts w:ascii="Times New Roman" w:hAnsi="Times New Roman" w:cs="Times New Roman"/>
                <w:color w:val="auto"/>
                <w:sz w:val="22"/>
                <w:szCs w:val="22"/>
              </w:rPr>
            </w:pPr>
            <w:r w:rsidRPr="009D07C7">
              <w:rPr>
                <w:rFonts w:ascii="Times New Roman" w:hAnsi="Times New Roman" w:cs="Times New Roman"/>
                <w:color w:val="auto"/>
                <w:sz w:val="22"/>
                <w:szCs w:val="22"/>
              </w:rPr>
              <w:t xml:space="preserve">SIA „Latvijas Saldumiņš” ir saņēmis ES fondu līdzfinansējumu ar intensitāti 60% jeb 600 000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apmērā, lai dažādotu ražošanu, ietverot ne tika šokolādes, bet arī </w:t>
            </w:r>
            <w:r w:rsidR="00F55E89" w:rsidRPr="009D07C7">
              <w:rPr>
                <w:rFonts w:ascii="Times New Roman" w:hAnsi="Times New Roman" w:cs="Times New Roman"/>
                <w:color w:val="auto"/>
                <w:sz w:val="22"/>
                <w:szCs w:val="22"/>
              </w:rPr>
              <w:t>konditorejas</w:t>
            </w:r>
            <w:r w:rsidRPr="009D07C7">
              <w:rPr>
                <w:rFonts w:ascii="Times New Roman" w:hAnsi="Times New Roman" w:cs="Times New Roman"/>
                <w:color w:val="auto"/>
                <w:sz w:val="22"/>
                <w:szCs w:val="22"/>
              </w:rPr>
              <w:t xml:space="preserve"> izstrādājumu ražošanu. Atbalsts paredzēts </w:t>
            </w:r>
            <w:r w:rsidR="00F55E89" w:rsidRPr="009D07C7">
              <w:rPr>
                <w:rFonts w:ascii="Times New Roman" w:hAnsi="Times New Roman" w:cs="Times New Roman"/>
                <w:color w:val="auto"/>
                <w:sz w:val="22"/>
                <w:szCs w:val="22"/>
              </w:rPr>
              <w:t>konditorejas</w:t>
            </w:r>
            <w:r w:rsidRPr="009D07C7">
              <w:rPr>
                <w:rFonts w:ascii="Times New Roman" w:hAnsi="Times New Roman" w:cs="Times New Roman"/>
                <w:color w:val="auto"/>
                <w:sz w:val="22"/>
                <w:szCs w:val="22"/>
              </w:rPr>
              <w:t xml:space="preserve"> iekārtu iegādei 1 000 000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apmērā, kuras nepieciešamas jaunā </w:t>
            </w:r>
            <w:r w:rsidR="00F55E89" w:rsidRPr="009D07C7">
              <w:rPr>
                <w:rFonts w:ascii="Times New Roman" w:hAnsi="Times New Roman" w:cs="Times New Roman"/>
                <w:color w:val="auto"/>
                <w:sz w:val="22"/>
                <w:szCs w:val="22"/>
              </w:rPr>
              <w:t>konditorejas</w:t>
            </w:r>
            <w:r w:rsidRPr="009D07C7">
              <w:rPr>
                <w:rFonts w:ascii="Times New Roman" w:hAnsi="Times New Roman" w:cs="Times New Roman"/>
                <w:color w:val="auto"/>
                <w:sz w:val="22"/>
                <w:szCs w:val="22"/>
              </w:rPr>
              <w:t xml:space="preserve"> ceha darbībai, un neietver citas izmaksas (piemēram, projekta vadību un publicitāti). Divus gadus pēc ES fondu līdzfinansējuma saņemšanas tirgū strauji samazinās pieprasījums pēc šokolādes un </w:t>
            </w:r>
            <w:r w:rsidR="00F55E89" w:rsidRPr="009D07C7">
              <w:rPr>
                <w:rFonts w:ascii="Times New Roman" w:hAnsi="Times New Roman" w:cs="Times New Roman"/>
                <w:color w:val="auto"/>
                <w:sz w:val="22"/>
                <w:szCs w:val="22"/>
              </w:rPr>
              <w:t>konditorejas</w:t>
            </w:r>
            <w:r w:rsidRPr="009D07C7">
              <w:rPr>
                <w:rFonts w:ascii="Times New Roman" w:hAnsi="Times New Roman" w:cs="Times New Roman"/>
                <w:color w:val="auto"/>
                <w:sz w:val="22"/>
                <w:szCs w:val="22"/>
              </w:rPr>
              <w:t xml:space="preserve"> izstrādājumiem, un uzņēmums nolemj uz sešiem mēnešiem pārtraukt ražošanu. Šajā gadījumā ir iestājušās būtiskās pārmaiņas, jo tiek ietekmēta darbības bū</w:t>
            </w:r>
            <w:r w:rsidR="00C670C0" w:rsidRPr="009D07C7">
              <w:rPr>
                <w:rFonts w:ascii="Times New Roman" w:hAnsi="Times New Roman" w:cs="Times New Roman"/>
                <w:color w:val="auto"/>
                <w:sz w:val="22"/>
                <w:szCs w:val="22"/>
              </w:rPr>
              <w:t>tība un īstenošanas nosacījumi. Gadījumā, ja uzņēmums pārtrauc</w:t>
            </w:r>
            <w:r w:rsidR="00AC6BDD" w:rsidRPr="009D07C7">
              <w:rPr>
                <w:rFonts w:ascii="Times New Roman" w:hAnsi="Times New Roman" w:cs="Times New Roman"/>
                <w:color w:val="auto"/>
                <w:sz w:val="22"/>
                <w:szCs w:val="22"/>
              </w:rPr>
              <w:t xml:space="preserve"> darbību </w:t>
            </w:r>
            <w:r w:rsidR="00C670C0" w:rsidRPr="009D07C7">
              <w:rPr>
                <w:rFonts w:ascii="Times New Roman" w:hAnsi="Times New Roman" w:cs="Times New Roman"/>
                <w:color w:val="auto"/>
                <w:sz w:val="22"/>
                <w:szCs w:val="22"/>
              </w:rPr>
              <w:t>laika periodā līdz 1 gadam, piemēro finanšu korekciju 5% apmērā. Ja šis periods ir ilgāks kā 1 gads, tad piemēro proporcionālo finan</w:t>
            </w:r>
            <w:r w:rsidR="00731EAC" w:rsidRPr="009D07C7">
              <w:rPr>
                <w:rFonts w:ascii="Times New Roman" w:hAnsi="Times New Roman" w:cs="Times New Roman"/>
                <w:color w:val="auto"/>
                <w:sz w:val="22"/>
                <w:szCs w:val="22"/>
              </w:rPr>
              <w:t>šu korekciju atbilstoši dīkstāves</w:t>
            </w:r>
            <w:r w:rsidR="00C670C0" w:rsidRPr="009D07C7">
              <w:rPr>
                <w:rFonts w:ascii="Times New Roman" w:hAnsi="Times New Roman" w:cs="Times New Roman"/>
                <w:color w:val="auto"/>
                <w:sz w:val="22"/>
                <w:szCs w:val="22"/>
              </w:rPr>
              <w:t xml:space="preserve"> laikam. </w:t>
            </w:r>
          </w:p>
          <w:p w14:paraId="004388B5" w14:textId="77777777" w:rsidR="00B5215B" w:rsidRPr="009D07C7" w:rsidRDefault="00B5215B" w:rsidP="00E65D59">
            <w:pPr>
              <w:pStyle w:val="Default"/>
              <w:jc w:val="both"/>
              <w:rPr>
                <w:rFonts w:ascii="Times New Roman" w:hAnsi="Times New Roman" w:cs="Times New Roman"/>
                <w:color w:val="auto"/>
                <w:sz w:val="22"/>
                <w:szCs w:val="22"/>
              </w:rPr>
            </w:pPr>
          </w:p>
          <w:p w14:paraId="39E040A0" w14:textId="77777777" w:rsidR="00B5215B" w:rsidRPr="009D07C7" w:rsidRDefault="00F3405C" w:rsidP="00E65D59">
            <w:pPr>
              <w:pStyle w:val="Default"/>
              <w:jc w:val="both"/>
              <w:rPr>
                <w:rFonts w:ascii="Times New Roman" w:hAnsi="Times New Roman"/>
                <w:sz w:val="22"/>
                <w:szCs w:val="22"/>
              </w:rPr>
            </w:pPr>
            <w:r w:rsidRPr="009D07C7">
              <w:rPr>
                <w:rFonts w:ascii="Times New Roman" w:hAnsi="Times New Roman"/>
                <w:sz w:val="22"/>
                <w:szCs w:val="22"/>
              </w:rPr>
              <w:t>Finanšu korekcija netiek piemērota, ja īpašuma maiņa tiek veikta</w:t>
            </w:r>
            <w:r w:rsidR="003551E8" w:rsidRPr="009D07C7">
              <w:rPr>
                <w:rFonts w:ascii="Times New Roman" w:hAnsi="Times New Roman"/>
                <w:sz w:val="22"/>
                <w:szCs w:val="22"/>
              </w:rPr>
              <w:t xml:space="preserve"> ar saistību pārņemšanu, īpaši</w:t>
            </w:r>
            <w:r w:rsidRPr="009D07C7">
              <w:rPr>
                <w:rFonts w:ascii="Times New Roman" w:hAnsi="Times New Roman"/>
                <w:sz w:val="22"/>
                <w:szCs w:val="22"/>
              </w:rPr>
              <w:t xml:space="preserve"> gadījumos, kad īpašums tiek nodots no valsts pašvaldībai un otrādi</w:t>
            </w:r>
            <w:r w:rsidR="00F06B43" w:rsidRPr="009D07C7">
              <w:rPr>
                <w:rFonts w:ascii="Times New Roman" w:hAnsi="Times New Roman"/>
                <w:sz w:val="22"/>
                <w:szCs w:val="22"/>
              </w:rPr>
              <w:t>, ja tiek nodrošināts, ka projekta darbība tiek turpināta un netiek traucēta, kā arī tiek ievēroti līgumā noteiktie nosacījumi.</w:t>
            </w:r>
          </w:p>
          <w:p w14:paraId="6B1C0ECB" w14:textId="77777777" w:rsidR="009E6586" w:rsidRPr="009D07C7" w:rsidRDefault="009E6586" w:rsidP="00E65D59">
            <w:pPr>
              <w:pStyle w:val="Default"/>
              <w:jc w:val="both"/>
              <w:rPr>
                <w:rFonts w:ascii="Times New Roman" w:hAnsi="Times New Roman"/>
                <w:sz w:val="22"/>
                <w:szCs w:val="22"/>
              </w:rPr>
            </w:pPr>
          </w:p>
          <w:p w14:paraId="2E7073B7" w14:textId="77777777" w:rsidR="008B6D06" w:rsidRDefault="008B6D06" w:rsidP="00E65D59">
            <w:pPr>
              <w:pStyle w:val="Default"/>
              <w:jc w:val="both"/>
              <w:rPr>
                <w:rFonts w:ascii="Times New Roman" w:hAnsi="Times New Roman"/>
                <w:sz w:val="22"/>
                <w:szCs w:val="22"/>
              </w:rPr>
            </w:pPr>
          </w:p>
          <w:p w14:paraId="2B13F199" w14:textId="77777777" w:rsidR="009E6586" w:rsidRPr="009D07C7" w:rsidRDefault="009E6586" w:rsidP="00E65D59">
            <w:pPr>
              <w:pStyle w:val="Default"/>
              <w:jc w:val="both"/>
              <w:rPr>
                <w:rFonts w:ascii="Times New Roman" w:hAnsi="Times New Roman" w:cs="Times New Roman"/>
                <w:color w:val="auto"/>
                <w:sz w:val="22"/>
                <w:szCs w:val="22"/>
              </w:rPr>
            </w:pPr>
            <w:r w:rsidRPr="009D07C7">
              <w:rPr>
                <w:rFonts w:ascii="Times New Roman" w:hAnsi="Times New Roman"/>
                <w:sz w:val="22"/>
                <w:szCs w:val="22"/>
              </w:rPr>
              <w:t xml:space="preserve">d) </w:t>
            </w:r>
            <w:r w:rsidRPr="009D07C7">
              <w:rPr>
                <w:rFonts w:ascii="Times New Roman" w:hAnsi="Times New Roman" w:cs="Times New Roman"/>
                <w:color w:val="auto"/>
                <w:sz w:val="22"/>
                <w:szCs w:val="22"/>
              </w:rPr>
              <w:t xml:space="preserve">Uzņēmums X ir saņēmis ES fondu līdzfinansējumu ar atbalsta intensitāti 60% jeb 600 000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apmērā jaudīgu ražošanas iekārtu </w:t>
            </w:r>
            <w:r w:rsidRPr="009D07C7">
              <w:rPr>
                <w:rFonts w:ascii="Times New Roman" w:hAnsi="Times New Roman" w:cs="Times New Roman"/>
                <w:color w:val="auto"/>
                <w:sz w:val="22"/>
                <w:szCs w:val="22"/>
              </w:rPr>
              <w:lastRenderedPageBreak/>
              <w:t xml:space="preserve">iegādei par kopējo summu 1 000 000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No projekta kopējām izmaksām 5% jeb 50 000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paredzēti projekta administrēšanai, 5% jeb 50 000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 projekta publicitātes nodrošināšanai, bet 90% jeb 900 000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 ražošanas iekārtu iegādei. Iesniedzot projektu ES fondu līdzfinansējuma piesaistei, uzņēmums X pamato, ka iegādātās iekārtas piecu gadu laikā ļaus dubultot ražošanas apjomus, kas tiek izvirzīts arī par vienu no projekta ilgtermiņa mērķiem. Divus gadus pēc ES fondu līdzfinansējuma saņemšanas atbalsta saņēmējs nolemj pārdot vienu no iegādātajām iekārtām, kura tika iepirkta par 500 000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(300 000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 ES fondu atbalsts un 200 000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 komercsabiedrības līdzfinansējums). Uzņēmums iekārtu pārdod par tā brīža tirgus vērtību, kas ir 400 000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un tās vietā iegādājas jaunu iekārtu par 350 000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xml:space="preserve">, kas saskaņā ar tehniskajām specifikācijām spēj nodrošināt tādus pašus ražošanas apjomus. Šo divu gadu laikā uzņēmuma ražošanas apjoms ir pieaudzis par 100%, un pieaugums saglabāsies plānotajā apmērā arī pēc vecās iekārtas pārdošanas un jaunās iekārtas iegādes. Šajā gadījumā ir iestājušās būtiskas pārmaiņas, jo, lai arī iekārtu pārdošana nav ietekmējusi darbības būtību – ar jauno iekārtu tiks nodrošināts plānotais ražošanas pieaugums, tomēr vecās iekārtas pārdošana un jaunas iekārtas iegāde ir radījusi nepamatotas priekšrocības ES finansējuma saņēmējam, kurš uz pirkšanas un pārdošanas rēķina ir ieguvis 50 000 </w:t>
            </w:r>
            <w:r w:rsidR="00051AD6">
              <w:rPr>
                <w:rFonts w:ascii="Times New Roman" w:hAnsi="Times New Roman" w:cs="Times New Roman"/>
                <w:color w:val="auto"/>
                <w:sz w:val="22"/>
                <w:szCs w:val="22"/>
              </w:rPr>
              <w:t>EUR</w:t>
            </w:r>
            <w:r w:rsidRPr="009D07C7">
              <w:rPr>
                <w:rFonts w:ascii="Times New Roman" w:hAnsi="Times New Roman" w:cs="Times New Roman"/>
                <w:color w:val="auto"/>
                <w:sz w:val="22"/>
                <w:szCs w:val="22"/>
              </w:rPr>
              <w:t>, ko viņam attiecīgi ir jāatmaksā.</w:t>
            </w:r>
          </w:p>
          <w:p w14:paraId="37284450" w14:textId="77777777" w:rsidR="00B974C2" w:rsidRPr="009D07C7" w:rsidRDefault="00B974C2" w:rsidP="00E65D59">
            <w:pPr>
              <w:pStyle w:val="Default"/>
              <w:jc w:val="both"/>
              <w:rPr>
                <w:rFonts w:ascii="Times New Roman" w:hAnsi="Times New Roman" w:cs="Times New Roman"/>
                <w:color w:val="auto"/>
                <w:sz w:val="22"/>
                <w:szCs w:val="22"/>
              </w:rPr>
            </w:pPr>
          </w:p>
          <w:p w14:paraId="1ED180B7" w14:textId="77777777" w:rsidR="00B974C2" w:rsidRPr="009D07C7" w:rsidRDefault="0016547C" w:rsidP="00E65D59">
            <w:pPr>
              <w:pStyle w:val="Default"/>
              <w:jc w:val="both"/>
              <w:rPr>
                <w:rFonts w:ascii="Times New Roman" w:hAnsi="Times New Roman" w:cs="Times New Roman"/>
                <w:color w:val="auto"/>
                <w:sz w:val="22"/>
                <w:szCs w:val="22"/>
              </w:rPr>
            </w:pPr>
            <w:r w:rsidRPr="009D07C7">
              <w:rPr>
                <w:rFonts w:ascii="Times New Roman" w:hAnsi="Times New Roman" w:cs="Times New Roman"/>
                <w:color w:val="auto"/>
                <w:sz w:val="22"/>
                <w:szCs w:val="22"/>
              </w:rPr>
              <w:t xml:space="preserve">e) </w:t>
            </w:r>
            <w:r w:rsidRPr="009D07C7">
              <w:rPr>
                <w:rFonts w:ascii="Times New Roman" w:hAnsi="Times New Roman" w:cs="Times New Roman"/>
                <w:bCs/>
                <w:color w:val="auto"/>
                <w:sz w:val="22"/>
                <w:szCs w:val="22"/>
              </w:rPr>
              <w:t xml:space="preserve">Projekts ir realizēts un iestājies 5 gadu </w:t>
            </w:r>
            <w:r w:rsidR="00EE79A9" w:rsidRPr="009D07C7">
              <w:rPr>
                <w:rFonts w:ascii="Times New Roman" w:hAnsi="Times New Roman" w:cs="Times New Roman"/>
                <w:bCs/>
                <w:color w:val="auto"/>
                <w:sz w:val="22"/>
                <w:szCs w:val="22"/>
              </w:rPr>
              <w:t>pēc</w:t>
            </w:r>
            <w:r w:rsidRPr="009D07C7">
              <w:rPr>
                <w:rFonts w:ascii="Times New Roman" w:hAnsi="Times New Roman" w:cs="Times New Roman"/>
                <w:bCs/>
                <w:color w:val="auto"/>
                <w:sz w:val="22"/>
                <w:szCs w:val="22"/>
              </w:rPr>
              <w:t xml:space="preserve">uzraudzības termiņš. </w:t>
            </w:r>
            <w:r w:rsidR="00293C34" w:rsidRPr="009D07C7">
              <w:rPr>
                <w:rFonts w:ascii="Times New Roman" w:hAnsi="Times New Roman" w:cs="Times New Roman"/>
                <w:bCs/>
                <w:color w:val="auto"/>
                <w:sz w:val="22"/>
                <w:szCs w:val="22"/>
              </w:rPr>
              <w:t>Pēcu</w:t>
            </w:r>
            <w:r w:rsidRPr="009D07C7">
              <w:rPr>
                <w:rFonts w:ascii="Times New Roman" w:hAnsi="Times New Roman" w:cs="Times New Roman"/>
                <w:bCs/>
                <w:color w:val="auto"/>
                <w:sz w:val="22"/>
                <w:szCs w:val="22"/>
              </w:rPr>
              <w:t>zraudzības termiņa laikā uzņēmums objektīvu iemeslu dēļ pārdod (atsavina) pamatlīdzekļus</w:t>
            </w:r>
            <w:r w:rsidR="003315BF">
              <w:rPr>
                <w:rFonts w:ascii="Times New Roman" w:hAnsi="Times New Roman" w:cs="Times New Roman"/>
                <w:bCs/>
                <w:color w:val="auto"/>
                <w:sz w:val="22"/>
                <w:szCs w:val="22"/>
              </w:rPr>
              <w:t xml:space="preserve"> (lietu)</w:t>
            </w:r>
            <w:r w:rsidRPr="009D07C7">
              <w:rPr>
                <w:rFonts w:ascii="Times New Roman" w:hAnsi="Times New Roman" w:cs="Times New Roman"/>
                <w:bCs/>
                <w:color w:val="auto"/>
                <w:sz w:val="22"/>
                <w:szCs w:val="22"/>
              </w:rPr>
              <w:t>, kas iegādāti par ES līdzfinansējumu. Pamatlīdzekļu ieguvējs nevēlas un neturpina projekta saistības.</w:t>
            </w:r>
          </w:p>
          <w:p w14:paraId="6643A32D" w14:textId="77777777" w:rsidR="00E3107C" w:rsidRPr="009D07C7" w:rsidRDefault="00E3107C" w:rsidP="00E65D59">
            <w:pPr>
              <w:pStyle w:val="Default"/>
              <w:jc w:val="both"/>
              <w:rPr>
                <w:sz w:val="22"/>
                <w:szCs w:val="22"/>
              </w:rPr>
            </w:pPr>
          </w:p>
          <w:p w14:paraId="4BD7E61D" w14:textId="77777777" w:rsidR="005171D5" w:rsidRPr="009D07C7" w:rsidRDefault="002952D1" w:rsidP="00E65D59">
            <w:pPr>
              <w:pStyle w:val="Default"/>
              <w:jc w:val="both"/>
              <w:rPr>
                <w:rFonts w:ascii="Times New Roman" w:hAnsi="Times New Roman" w:cs="Times New Roman"/>
                <w:sz w:val="22"/>
                <w:szCs w:val="22"/>
              </w:rPr>
            </w:pPr>
            <w:r w:rsidRPr="009D07C7">
              <w:rPr>
                <w:sz w:val="22"/>
                <w:szCs w:val="22"/>
              </w:rPr>
              <w:lastRenderedPageBreak/>
              <w:t xml:space="preserve">      </w:t>
            </w:r>
            <w:r w:rsidRPr="009D07C7">
              <w:rPr>
                <w:rFonts w:ascii="Times New Roman" w:hAnsi="Times New Roman" w:cs="Times New Roman"/>
                <w:sz w:val="22"/>
                <w:szCs w:val="22"/>
              </w:rPr>
              <w:t>2 e) viens finan</w:t>
            </w:r>
            <w:r w:rsidR="00E3107C" w:rsidRPr="009D07C7">
              <w:rPr>
                <w:rFonts w:ascii="Times New Roman" w:hAnsi="Times New Roman" w:cs="Times New Roman"/>
                <w:sz w:val="22"/>
                <w:szCs w:val="22"/>
              </w:rPr>
              <w:t xml:space="preserve">sējuma saņēmējs realizējot </w:t>
            </w:r>
            <w:r w:rsidRPr="009D07C7">
              <w:rPr>
                <w:rFonts w:ascii="Times New Roman" w:hAnsi="Times New Roman" w:cs="Times New Roman"/>
                <w:sz w:val="22"/>
                <w:szCs w:val="22"/>
              </w:rPr>
              <w:t>infrastruktūras uzlabošanas projektu</w:t>
            </w:r>
            <w:r w:rsidR="00B01EEA" w:rsidRPr="009D07C7">
              <w:rPr>
                <w:rFonts w:ascii="Times New Roman" w:hAnsi="Times New Roman" w:cs="Times New Roman"/>
                <w:sz w:val="22"/>
                <w:szCs w:val="22"/>
              </w:rPr>
              <w:t xml:space="preserve"> (ceļa seguma </w:t>
            </w:r>
            <w:r w:rsidR="00E3107C" w:rsidRPr="009D07C7">
              <w:rPr>
                <w:rFonts w:ascii="Times New Roman" w:hAnsi="Times New Roman" w:cs="Times New Roman"/>
                <w:sz w:val="22"/>
                <w:szCs w:val="22"/>
              </w:rPr>
              <w:t>maiņu)</w:t>
            </w:r>
            <w:r w:rsidR="00B00895" w:rsidRPr="009D07C7">
              <w:rPr>
                <w:rFonts w:ascii="Times New Roman" w:hAnsi="Times New Roman" w:cs="Times New Roman"/>
                <w:sz w:val="22"/>
                <w:szCs w:val="22"/>
              </w:rPr>
              <w:t xml:space="preserve"> </w:t>
            </w:r>
            <w:r w:rsidRPr="009D07C7">
              <w:rPr>
                <w:rFonts w:ascii="Times New Roman" w:hAnsi="Times New Roman" w:cs="Times New Roman"/>
                <w:sz w:val="22"/>
                <w:szCs w:val="22"/>
              </w:rPr>
              <w:t>pēc tā pabeigšanas</w:t>
            </w:r>
            <w:r w:rsidR="00E3107C" w:rsidRPr="009D07C7">
              <w:rPr>
                <w:rFonts w:ascii="Times New Roman" w:hAnsi="Times New Roman" w:cs="Times New Roman"/>
                <w:sz w:val="22"/>
                <w:szCs w:val="22"/>
              </w:rPr>
              <w:t xml:space="preserve">, </w:t>
            </w:r>
            <w:r w:rsidR="005171D5" w:rsidRPr="009D07C7">
              <w:rPr>
                <w:rFonts w:ascii="Times New Roman" w:hAnsi="Times New Roman" w:cs="Times New Roman"/>
                <w:sz w:val="22"/>
                <w:szCs w:val="22"/>
              </w:rPr>
              <w:t xml:space="preserve">nebeidzoties </w:t>
            </w:r>
            <w:r w:rsidR="00E3107C" w:rsidRPr="009D07C7">
              <w:rPr>
                <w:rFonts w:ascii="Times New Roman" w:hAnsi="Times New Roman" w:cs="Times New Roman"/>
                <w:sz w:val="22"/>
                <w:szCs w:val="22"/>
              </w:rPr>
              <w:t xml:space="preserve"> 5 gadu</w:t>
            </w:r>
            <w:r w:rsidR="005171D5" w:rsidRPr="009D07C7">
              <w:rPr>
                <w:rFonts w:ascii="Times New Roman" w:hAnsi="Times New Roman" w:cs="Times New Roman"/>
                <w:sz w:val="22"/>
                <w:szCs w:val="22"/>
              </w:rPr>
              <w:t xml:space="preserve"> pēcuzraudzības periodam</w:t>
            </w:r>
            <w:r w:rsidR="00B01EEA" w:rsidRPr="009D07C7">
              <w:rPr>
                <w:rFonts w:ascii="Times New Roman" w:hAnsi="Times New Roman" w:cs="Times New Roman"/>
                <w:sz w:val="22"/>
                <w:szCs w:val="22"/>
              </w:rPr>
              <w:t>,</w:t>
            </w:r>
            <w:r w:rsidR="00E3107C" w:rsidRPr="009D07C7">
              <w:rPr>
                <w:rFonts w:ascii="Times New Roman" w:hAnsi="Times New Roman" w:cs="Times New Roman"/>
                <w:sz w:val="22"/>
                <w:szCs w:val="22"/>
              </w:rPr>
              <w:t xml:space="preserve"> realizē ūdens saimniecības attīstības projektu, kura rezultātā tiek sabojāts infrastruktūras projekta veiktais ieg</w:t>
            </w:r>
            <w:r w:rsidR="00B01EEA" w:rsidRPr="009D07C7">
              <w:rPr>
                <w:rFonts w:ascii="Times New Roman" w:hAnsi="Times New Roman" w:cs="Times New Roman"/>
                <w:sz w:val="22"/>
                <w:szCs w:val="22"/>
              </w:rPr>
              <w:t xml:space="preserve">uldījums ceļu seguma uzlabošanai un </w:t>
            </w:r>
            <w:r w:rsidR="00555B86" w:rsidRPr="009D07C7">
              <w:rPr>
                <w:rFonts w:ascii="Times New Roman" w:hAnsi="Times New Roman" w:cs="Times New Roman"/>
                <w:sz w:val="22"/>
                <w:szCs w:val="22"/>
              </w:rPr>
              <w:t xml:space="preserve"> </w:t>
            </w:r>
            <w:r w:rsidR="00B01EEA" w:rsidRPr="009D07C7">
              <w:rPr>
                <w:rFonts w:ascii="Times New Roman" w:hAnsi="Times New Roman" w:cs="Times New Roman"/>
                <w:sz w:val="22"/>
                <w:szCs w:val="22"/>
              </w:rPr>
              <w:t>tādējādi tiek samazināta ceļu infrastruktūras projekta ietvaros radīto vērtību ilgtspēja</w:t>
            </w:r>
            <w:r w:rsidR="005171D5" w:rsidRPr="009D07C7">
              <w:rPr>
                <w:rFonts w:ascii="Times New Roman" w:hAnsi="Times New Roman" w:cs="Times New Roman"/>
                <w:sz w:val="22"/>
                <w:szCs w:val="22"/>
              </w:rPr>
              <w:t>.</w:t>
            </w:r>
            <w:r w:rsidR="00B00895" w:rsidRPr="009D07C7">
              <w:rPr>
                <w:rFonts w:ascii="Times New Roman" w:hAnsi="Times New Roman" w:cs="Times New Roman"/>
                <w:sz w:val="22"/>
                <w:szCs w:val="22"/>
              </w:rPr>
              <w:t xml:space="preserve"> </w:t>
            </w:r>
            <w:r w:rsidR="005171D5" w:rsidRPr="009D07C7">
              <w:rPr>
                <w:rFonts w:ascii="Times New Roman" w:hAnsi="Times New Roman" w:cs="Times New Roman"/>
                <w:sz w:val="22"/>
                <w:szCs w:val="22"/>
              </w:rPr>
              <w:t xml:space="preserve"> Attiecīgi par darbiem, kuri pārklājas un tikuši apmaksāti dubultā, jāpiemēro 100% korekcija.</w:t>
            </w:r>
            <w:r w:rsidR="00B00895" w:rsidRPr="009D07C7">
              <w:rPr>
                <w:rFonts w:ascii="Times New Roman" w:hAnsi="Times New Roman" w:cs="Times New Roman"/>
                <w:sz w:val="22"/>
                <w:szCs w:val="22"/>
              </w:rPr>
              <w:t xml:space="preserve"> </w:t>
            </w:r>
          </w:p>
          <w:p w14:paraId="34A3CE89" w14:textId="77777777" w:rsidR="00E3107C" w:rsidRPr="009D07C7" w:rsidRDefault="005171D5" w:rsidP="00654481">
            <w:pPr>
              <w:pStyle w:val="Default"/>
              <w:jc w:val="both"/>
              <w:rPr>
                <w:sz w:val="22"/>
                <w:szCs w:val="22"/>
              </w:rPr>
            </w:pPr>
            <w:r w:rsidRPr="009D07C7">
              <w:rPr>
                <w:rFonts w:ascii="Times New Roman" w:hAnsi="Times New Roman" w:cs="Times New Roman"/>
                <w:sz w:val="22"/>
                <w:szCs w:val="22"/>
              </w:rPr>
              <w:t>G</w:t>
            </w:r>
            <w:r w:rsidR="00555B86" w:rsidRPr="009D07C7">
              <w:rPr>
                <w:rFonts w:ascii="Times New Roman" w:hAnsi="Times New Roman" w:cs="Times New Roman"/>
                <w:sz w:val="22"/>
                <w:szCs w:val="22"/>
              </w:rPr>
              <w:t xml:space="preserve">adījumos, kad  finansējuma saņēmējs </w:t>
            </w:r>
            <w:r w:rsidR="00555B86" w:rsidRPr="009D07C7">
              <w:rPr>
                <w:rFonts w:ascii="Times New Roman" w:hAnsi="Times New Roman" w:cs="Times New Roman"/>
                <w:sz w:val="22"/>
                <w:szCs w:val="22"/>
                <w:u w:val="single"/>
              </w:rPr>
              <w:t>spēj pierādīt</w:t>
            </w:r>
            <w:r w:rsidR="00555B86" w:rsidRPr="009D07C7">
              <w:rPr>
                <w:rFonts w:ascii="Times New Roman" w:hAnsi="Times New Roman" w:cs="Times New Roman"/>
                <w:sz w:val="22"/>
                <w:szCs w:val="22"/>
              </w:rPr>
              <w:t>, ka nepieciešamās izmaiņas iepriekš nebija paredzamas, piemēram ūdensvada avārija, finanšu korekciju nepiemēro.</w:t>
            </w:r>
          </w:p>
        </w:tc>
        <w:tc>
          <w:tcPr>
            <w:tcW w:w="937" w:type="pct"/>
            <w:gridSpan w:val="2"/>
            <w:tcBorders>
              <w:bottom w:val="single" w:sz="4" w:space="0" w:color="auto"/>
            </w:tcBorders>
          </w:tcPr>
          <w:p w14:paraId="0B373C1C" w14:textId="77777777" w:rsidR="00DD563F" w:rsidRPr="009D07C7" w:rsidRDefault="00DD563F" w:rsidP="00CD5B78">
            <w:pPr>
              <w:jc w:val="center"/>
              <w:rPr>
                <w:sz w:val="22"/>
                <w:szCs w:val="22"/>
              </w:rPr>
            </w:pPr>
          </w:p>
          <w:p w14:paraId="6109A595" w14:textId="77777777" w:rsidR="00AF0DAA" w:rsidRPr="009D07C7" w:rsidRDefault="00AF0DAA" w:rsidP="00CD5B78">
            <w:pPr>
              <w:jc w:val="center"/>
              <w:rPr>
                <w:sz w:val="22"/>
                <w:szCs w:val="22"/>
              </w:rPr>
            </w:pPr>
          </w:p>
          <w:p w14:paraId="4A2233CC" w14:textId="77777777" w:rsidR="00AF0DAA" w:rsidRPr="009D07C7" w:rsidRDefault="00AF0DAA" w:rsidP="00196DEC">
            <w:pPr>
              <w:numPr>
                <w:ilvl w:val="0"/>
                <w:numId w:val="10"/>
              </w:numPr>
              <w:tabs>
                <w:tab w:val="clear" w:pos="720"/>
              </w:tabs>
              <w:ind w:left="244" w:hanging="244"/>
              <w:jc w:val="center"/>
              <w:rPr>
                <w:sz w:val="22"/>
                <w:szCs w:val="22"/>
              </w:rPr>
            </w:pPr>
            <w:r w:rsidRPr="009D07C7">
              <w:rPr>
                <w:sz w:val="22"/>
                <w:szCs w:val="22"/>
              </w:rPr>
              <w:t>100%</w:t>
            </w:r>
          </w:p>
          <w:p w14:paraId="1D29FDD1" w14:textId="77777777" w:rsidR="00AF0DAA" w:rsidRPr="009D07C7" w:rsidRDefault="00AF0DAA" w:rsidP="00CD5B78">
            <w:pPr>
              <w:ind w:left="360"/>
              <w:jc w:val="center"/>
              <w:rPr>
                <w:sz w:val="22"/>
                <w:szCs w:val="22"/>
              </w:rPr>
            </w:pPr>
          </w:p>
          <w:p w14:paraId="6EFAF332" w14:textId="77777777" w:rsidR="00AF0DAA" w:rsidRPr="009D07C7" w:rsidRDefault="00AF0DAA" w:rsidP="00CD5B78">
            <w:pPr>
              <w:ind w:left="360"/>
              <w:jc w:val="center"/>
              <w:rPr>
                <w:sz w:val="22"/>
                <w:szCs w:val="22"/>
              </w:rPr>
            </w:pPr>
          </w:p>
          <w:p w14:paraId="2C50AED1" w14:textId="77777777" w:rsidR="00AF0DAA" w:rsidRPr="009D07C7" w:rsidRDefault="00AF0DAA" w:rsidP="00CD5B78">
            <w:pPr>
              <w:ind w:left="360"/>
              <w:jc w:val="center"/>
              <w:rPr>
                <w:sz w:val="22"/>
                <w:szCs w:val="22"/>
              </w:rPr>
            </w:pPr>
          </w:p>
          <w:p w14:paraId="2E4F3FE6" w14:textId="77777777" w:rsidR="00AF0DAA" w:rsidRPr="009D07C7" w:rsidRDefault="00AF0DAA" w:rsidP="00CD5B78">
            <w:pPr>
              <w:ind w:left="360"/>
              <w:jc w:val="center"/>
              <w:rPr>
                <w:sz w:val="22"/>
                <w:szCs w:val="22"/>
              </w:rPr>
            </w:pPr>
          </w:p>
          <w:p w14:paraId="31532855" w14:textId="77777777" w:rsidR="00AF0DAA" w:rsidRPr="009D07C7" w:rsidRDefault="00AF0DAA" w:rsidP="00CD5B78">
            <w:pPr>
              <w:ind w:left="360"/>
              <w:jc w:val="center"/>
              <w:rPr>
                <w:sz w:val="22"/>
                <w:szCs w:val="22"/>
              </w:rPr>
            </w:pPr>
          </w:p>
          <w:p w14:paraId="5E3F0D2F" w14:textId="77777777" w:rsidR="00AF0DAA" w:rsidRPr="009D07C7" w:rsidRDefault="00AF0DAA" w:rsidP="00CD5B78">
            <w:pPr>
              <w:ind w:left="360"/>
              <w:jc w:val="center"/>
              <w:rPr>
                <w:sz w:val="22"/>
                <w:szCs w:val="22"/>
              </w:rPr>
            </w:pPr>
          </w:p>
          <w:p w14:paraId="33E9A8C7" w14:textId="77777777" w:rsidR="00AF0DAA" w:rsidRPr="009D07C7" w:rsidRDefault="00AF0DAA" w:rsidP="00CD5B78">
            <w:pPr>
              <w:ind w:left="360"/>
              <w:jc w:val="center"/>
              <w:rPr>
                <w:sz w:val="22"/>
                <w:szCs w:val="22"/>
              </w:rPr>
            </w:pPr>
          </w:p>
          <w:p w14:paraId="25FCB8EE" w14:textId="77777777" w:rsidR="00AF0DAA" w:rsidRPr="009D07C7" w:rsidRDefault="00AF0DAA" w:rsidP="00CD5B78">
            <w:pPr>
              <w:ind w:left="360"/>
              <w:jc w:val="center"/>
              <w:rPr>
                <w:sz w:val="22"/>
                <w:szCs w:val="22"/>
              </w:rPr>
            </w:pPr>
          </w:p>
          <w:p w14:paraId="6B4F45BF" w14:textId="77777777" w:rsidR="00AF0DAA" w:rsidRPr="009D07C7" w:rsidRDefault="00AF0DAA" w:rsidP="00CD5B78">
            <w:pPr>
              <w:ind w:left="360"/>
              <w:jc w:val="center"/>
              <w:rPr>
                <w:sz w:val="22"/>
                <w:szCs w:val="22"/>
              </w:rPr>
            </w:pPr>
          </w:p>
          <w:p w14:paraId="5B338E92" w14:textId="77777777" w:rsidR="00AF0DAA" w:rsidRPr="009D07C7" w:rsidRDefault="00AF0DAA" w:rsidP="00CD5B78">
            <w:pPr>
              <w:ind w:left="360"/>
              <w:jc w:val="center"/>
              <w:rPr>
                <w:sz w:val="22"/>
                <w:szCs w:val="22"/>
              </w:rPr>
            </w:pPr>
          </w:p>
          <w:p w14:paraId="63F15D50" w14:textId="77777777" w:rsidR="00AF0DAA" w:rsidRPr="009D07C7" w:rsidRDefault="00AF0DAA" w:rsidP="00CD5B78">
            <w:pPr>
              <w:ind w:left="360"/>
              <w:jc w:val="center"/>
              <w:rPr>
                <w:sz w:val="22"/>
                <w:szCs w:val="22"/>
              </w:rPr>
            </w:pPr>
          </w:p>
          <w:p w14:paraId="3D95C3F1" w14:textId="77777777" w:rsidR="00AF0DAA" w:rsidRPr="009D07C7" w:rsidRDefault="00AF0DAA" w:rsidP="00CD5B78">
            <w:pPr>
              <w:ind w:left="360"/>
              <w:jc w:val="center"/>
              <w:rPr>
                <w:sz w:val="22"/>
                <w:szCs w:val="22"/>
              </w:rPr>
            </w:pPr>
          </w:p>
          <w:p w14:paraId="358AD463" w14:textId="77777777" w:rsidR="00AF0DAA" w:rsidRPr="009D07C7" w:rsidRDefault="00AF0DAA" w:rsidP="00CD5B78">
            <w:pPr>
              <w:ind w:left="360"/>
              <w:jc w:val="center"/>
              <w:rPr>
                <w:sz w:val="22"/>
                <w:szCs w:val="22"/>
              </w:rPr>
            </w:pPr>
          </w:p>
          <w:p w14:paraId="2A0299A8" w14:textId="77777777" w:rsidR="00AF0DAA" w:rsidRPr="009D07C7" w:rsidRDefault="00AF0DAA" w:rsidP="00CD5B78">
            <w:pPr>
              <w:ind w:left="360"/>
              <w:jc w:val="center"/>
              <w:rPr>
                <w:sz w:val="22"/>
                <w:szCs w:val="22"/>
              </w:rPr>
            </w:pPr>
          </w:p>
          <w:p w14:paraId="40CD84A5" w14:textId="77777777" w:rsidR="00AF0DAA" w:rsidRPr="009D07C7" w:rsidRDefault="00AF0DAA" w:rsidP="00CD5B78">
            <w:pPr>
              <w:ind w:left="360"/>
              <w:jc w:val="center"/>
              <w:rPr>
                <w:sz w:val="22"/>
                <w:szCs w:val="22"/>
              </w:rPr>
            </w:pPr>
          </w:p>
          <w:p w14:paraId="276673C7" w14:textId="77777777" w:rsidR="00AF0DAA" w:rsidRPr="009D07C7" w:rsidRDefault="00AF0DAA" w:rsidP="00CD5B78">
            <w:pPr>
              <w:ind w:left="360"/>
              <w:jc w:val="center"/>
              <w:rPr>
                <w:sz w:val="22"/>
                <w:szCs w:val="22"/>
              </w:rPr>
            </w:pPr>
          </w:p>
          <w:p w14:paraId="207457DC" w14:textId="77777777" w:rsidR="00AF0DAA" w:rsidRPr="009D07C7" w:rsidRDefault="00AF0DAA" w:rsidP="00CD5B78">
            <w:pPr>
              <w:ind w:left="360"/>
              <w:jc w:val="center"/>
              <w:rPr>
                <w:sz w:val="22"/>
                <w:szCs w:val="22"/>
              </w:rPr>
            </w:pPr>
          </w:p>
          <w:p w14:paraId="2A5B601A" w14:textId="77777777" w:rsidR="00AF0DAA" w:rsidRPr="009D07C7" w:rsidRDefault="00AF0DAA" w:rsidP="00CD5B78">
            <w:pPr>
              <w:ind w:left="360"/>
              <w:jc w:val="center"/>
              <w:rPr>
                <w:sz w:val="22"/>
                <w:szCs w:val="22"/>
              </w:rPr>
            </w:pPr>
          </w:p>
          <w:p w14:paraId="0E827C5F" w14:textId="77777777" w:rsidR="00AF0DAA" w:rsidRPr="009D07C7" w:rsidRDefault="00AF0DAA" w:rsidP="00CD5B78">
            <w:pPr>
              <w:ind w:left="360"/>
              <w:jc w:val="center"/>
              <w:rPr>
                <w:sz w:val="22"/>
                <w:szCs w:val="22"/>
              </w:rPr>
            </w:pPr>
          </w:p>
          <w:p w14:paraId="3EEA0175" w14:textId="77777777" w:rsidR="00AF0DAA" w:rsidRPr="009D07C7" w:rsidRDefault="00AF0DAA" w:rsidP="00CD5B78">
            <w:pPr>
              <w:ind w:left="360"/>
              <w:jc w:val="center"/>
              <w:rPr>
                <w:sz w:val="22"/>
                <w:szCs w:val="22"/>
              </w:rPr>
            </w:pPr>
          </w:p>
          <w:p w14:paraId="3246C124" w14:textId="77777777" w:rsidR="00AF0DAA" w:rsidRPr="009D07C7" w:rsidRDefault="00AF0DAA" w:rsidP="00CD5B78">
            <w:pPr>
              <w:ind w:left="360"/>
              <w:jc w:val="center"/>
              <w:rPr>
                <w:sz w:val="22"/>
                <w:szCs w:val="22"/>
              </w:rPr>
            </w:pPr>
          </w:p>
          <w:p w14:paraId="5F6C6189" w14:textId="77777777" w:rsidR="00AF0DAA" w:rsidRPr="009D07C7" w:rsidRDefault="00AF0DAA" w:rsidP="00CD5B78">
            <w:pPr>
              <w:ind w:left="360"/>
              <w:jc w:val="center"/>
              <w:rPr>
                <w:sz w:val="22"/>
                <w:szCs w:val="22"/>
              </w:rPr>
            </w:pPr>
          </w:p>
          <w:p w14:paraId="5BE6AE58" w14:textId="77777777" w:rsidR="00AF0DAA" w:rsidRPr="009D07C7" w:rsidRDefault="00AF0DAA" w:rsidP="00CD5B78">
            <w:pPr>
              <w:ind w:left="360"/>
              <w:jc w:val="center"/>
              <w:rPr>
                <w:sz w:val="22"/>
                <w:szCs w:val="22"/>
              </w:rPr>
            </w:pPr>
          </w:p>
          <w:p w14:paraId="3BBB3D30" w14:textId="77777777" w:rsidR="00AF0DAA" w:rsidRPr="009D07C7" w:rsidRDefault="00AF0DAA" w:rsidP="00CD5B78">
            <w:pPr>
              <w:ind w:left="360"/>
              <w:jc w:val="center"/>
              <w:rPr>
                <w:sz w:val="22"/>
                <w:szCs w:val="22"/>
              </w:rPr>
            </w:pPr>
          </w:p>
          <w:p w14:paraId="19271E66" w14:textId="77777777" w:rsidR="00AF0DAA" w:rsidRPr="009D07C7" w:rsidRDefault="00AF0DAA" w:rsidP="00CD5B78">
            <w:pPr>
              <w:ind w:left="360"/>
              <w:jc w:val="center"/>
              <w:rPr>
                <w:sz w:val="22"/>
                <w:szCs w:val="22"/>
              </w:rPr>
            </w:pPr>
          </w:p>
          <w:p w14:paraId="0CC5FF3B" w14:textId="77777777" w:rsidR="00AF0DAA" w:rsidRPr="009D07C7" w:rsidRDefault="00AF0DAA" w:rsidP="00CD5B78">
            <w:pPr>
              <w:ind w:left="360"/>
              <w:jc w:val="center"/>
              <w:rPr>
                <w:sz w:val="22"/>
                <w:szCs w:val="22"/>
              </w:rPr>
            </w:pPr>
          </w:p>
          <w:p w14:paraId="22DD3B8C" w14:textId="77777777" w:rsidR="00AF0DAA" w:rsidRPr="009D07C7" w:rsidRDefault="00AF0DAA" w:rsidP="00CD5B78">
            <w:pPr>
              <w:ind w:left="360"/>
              <w:jc w:val="center"/>
              <w:rPr>
                <w:sz w:val="22"/>
                <w:szCs w:val="22"/>
              </w:rPr>
            </w:pPr>
          </w:p>
          <w:p w14:paraId="1C423DC8" w14:textId="77777777" w:rsidR="00AF0DAA" w:rsidRPr="009D07C7" w:rsidRDefault="00AF0DAA" w:rsidP="00CD5B78">
            <w:pPr>
              <w:ind w:left="360"/>
              <w:jc w:val="center"/>
              <w:rPr>
                <w:sz w:val="22"/>
                <w:szCs w:val="22"/>
              </w:rPr>
            </w:pPr>
          </w:p>
          <w:p w14:paraId="3448E5EB" w14:textId="77777777" w:rsidR="00AF0DAA" w:rsidRPr="009D07C7" w:rsidRDefault="00AF0DAA" w:rsidP="00CD5B78">
            <w:pPr>
              <w:ind w:left="360"/>
              <w:jc w:val="center"/>
              <w:rPr>
                <w:sz w:val="22"/>
                <w:szCs w:val="22"/>
              </w:rPr>
            </w:pPr>
          </w:p>
          <w:p w14:paraId="6BA92E0D" w14:textId="77777777" w:rsidR="00AF0DAA" w:rsidRPr="009D07C7" w:rsidRDefault="00AF0DAA" w:rsidP="00CD5B78">
            <w:pPr>
              <w:ind w:left="360"/>
              <w:jc w:val="center"/>
              <w:rPr>
                <w:sz w:val="22"/>
                <w:szCs w:val="22"/>
              </w:rPr>
            </w:pPr>
          </w:p>
          <w:p w14:paraId="5458A614" w14:textId="77777777" w:rsidR="00AF0DAA" w:rsidRPr="009D07C7" w:rsidRDefault="00AF0DAA" w:rsidP="00CD5B78">
            <w:pPr>
              <w:ind w:left="360"/>
              <w:jc w:val="center"/>
              <w:rPr>
                <w:sz w:val="22"/>
                <w:szCs w:val="22"/>
              </w:rPr>
            </w:pPr>
          </w:p>
          <w:p w14:paraId="67E822C2" w14:textId="77777777" w:rsidR="00AF0DAA" w:rsidRPr="009D07C7" w:rsidRDefault="00AF0DAA" w:rsidP="00CD5B78">
            <w:pPr>
              <w:ind w:left="360"/>
              <w:jc w:val="center"/>
              <w:rPr>
                <w:sz w:val="22"/>
                <w:szCs w:val="22"/>
              </w:rPr>
            </w:pPr>
          </w:p>
          <w:p w14:paraId="4F8A4FFB" w14:textId="77777777" w:rsidR="00AF0DAA" w:rsidRPr="009D07C7" w:rsidRDefault="00AF0DAA" w:rsidP="00CD5B78">
            <w:pPr>
              <w:ind w:left="360"/>
              <w:jc w:val="center"/>
              <w:rPr>
                <w:sz w:val="22"/>
                <w:szCs w:val="22"/>
              </w:rPr>
            </w:pPr>
          </w:p>
          <w:p w14:paraId="082B326B" w14:textId="77777777" w:rsidR="00AF0DAA" w:rsidRPr="009D07C7" w:rsidRDefault="00AF0DAA" w:rsidP="00CD5B78">
            <w:pPr>
              <w:ind w:left="360"/>
              <w:jc w:val="center"/>
              <w:rPr>
                <w:sz w:val="22"/>
                <w:szCs w:val="22"/>
              </w:rPr>
            </w:pPr>
          </w:p>
          <w:p w14:paraId="7C39EB5D" w14:textId="77777777" w:rsidR="00AF0DAA" w:rsidRPr="009D07C7" w:rsidRDefault="00AF0DAA" w:rsidP="00CD5B78">
            <w:pPr>
              <w:ind w:left="360"/>
              <w:jc w:val="center"/>
              <w:rPr>
                <w:sz w:val="22"/>
                <w:szCs w:val="22"/>
              </w:rPr>
            </w:pPr>
          </w:p>
          <w:p w14:paraId="55074D57" w14:textId="77777777" w:rsidR="00AF0DAA" w:rsidRPr="009D07C7" w:rsidRDefault="00AF0DAA" w:rsidP="00CD5B78">
            <w:pPr>
              <w:ind w:left="360"/>
              <w:jc w:val="center"/>
              <w:rPr>
                <w:sz w:val="22"/>
                <w:szCs w:val="22"/>
              </w:rPr>
            </w:pPr>
          </w:p>
          <w:p w14:paraId="142ED481" w14:textId="77777777" w:rsidR="00AF0DAA" w:rsidRPr="009D07C7" w:rsidRDefault="00AF0DAA" w:rsidP="00CD5B78">
            <w:pPr>
              <w:ind w:left="360"/>
              <w:jc w:val="center"/>
              <w:rPr>
                <w:sz w:val="22"/>
                <w:szCs w:val="22"/>
              </w:rPr>
            </w:pPr>
          </w:p>
          <w:p w14:paraId="639B20CB" w14:textId="77777777" w:rsidR="00AF0DAA" w:rsidRPr="009D07C7" w:rsidRDefault="00AF0DAA" w:rsidP="00CD5B78">
            <w:pPr>
              <w:ind w:left="360"/>
              <w:jc w:val="center"/>
              <w:rPr>
                <w:sz w:val="22"/>
                <w:szCs w:val="22"/>
              </w:rPr>
            </w:pPr>
          </w:p>
          <w:p w14:paraId="5145F3F8" w14:textId="77777777" w:rsidR="00AF0DAA" w:rsidRPr="009D07C7" w:rsidRDefault="00AF0DAA" w:rsidP="00CD5B78">
            <w:pPr>
              <w:ind w:left="360"/>
              <w:jc w:val="center"/>
              <w:rPr>
                <w:sz w:val="22"/>
                <w:szCs w:val="22"/>
              </w:rPr>
            </w:pPr>
          </w:p>
          <w:p w14:paraId="03AD6456" w14:textId="77777777" w:rsidR="00AF0DAA" w:rsidRPr="009D07C7" w:rsidRDefault="00AF0DAA" w:rsidP="00CD5B78">
            <w:pPr>
              <w:ind w:left="360"/>
              <w:jc w:val="center"/>
              <w:rPr>
                <w:sz w:val="22"/>
                <w:szCs w:val="22"/>
              </w:rPr>
            </w:pPr>
          </w:p>
          <w:p w14:paraId="2DEEF8A8" w14:textId="77777777" w:rsidR="00AF0DAA" w:rsidRPr="009D07C7" w:rsidRDefault="00AF0DAA" w:rsidP="00CD5B78">
            <w:pPr>
              <w:ind w:left="360"/>
              <w:jc w:val="center"/>
              <w:rPr>
                <w:sz w:val="22"/>
                <w:szCs w:val="22"/>
              </w:rPr>
            </w:pPr>
          </w:p>
          <w:p w14:paraId="43C60E76" w14:textId="77777777" w:rsidR="00AF0DAA" w:rsidRPr="009D07C7" w:rsidRDefault="00AF0DAA" w:rsidP="00CD5B78">
            <w:pPr>
              <w:ind w:left="360"/>
              <w:jc w:val="center"/>
              <w:rPr>
                <w:sz w:val="22"/>
                <w:szCs w:val="22"/>
              </w:rPr>
            </w:pPr>
          </w:p>
          <w:p w14:paraId="20259F02" w14:textId="77777777" w:rsidR="00AF0DAA" w:rsidRPr="009D07C7" w:rsidRDefault="00AF0DAA" w:rsidP="00CD5B78">
            <w:pPr>
              <w:ind w:left="360"/>
              <w:jc w:val="center"/>
              <w:rPr>
                <w:sz w:val="22"/>
                <w:szCs w:val="22"/>
              </w:rPr>
            </w:pPr>
          </w:p>
          <w:p w14:paraId="5E51D6E8" w14:textId="77777777" w:rsidR="00AF0DAA" w:rsidRPr="009D07C7" w:rsidRDefault="00AF0DAA" w:rsidP="00CD5B78">
            <w:pPr>
              <w:ind w:left="360"/>
              <w:jc w:val="center"/>
              <w:rPr>
                <w:sz w:val="22"/>
                <w:szCs w:val="22"/>
              </w:rPr>
            </w:pPr>
          </w:p>
          <w:p w14:paraId="04AE718E" w14:textId="77777777" w:rsidR="00AF0DAA" w:rsidRPr="009D07C7" w:rsidRDefault="00AF0DAA" w:rsidP="00CD5B78">
            <w:pPr>
              <w:ind w:left="360"/>
              <w:jc w:val="center"/>
              <w:rPr>
                <w:sz w:val="22"/>
                <w:szCs w:val="22"/>
              </w:rPr>
            </w:pPr>
          </w:p>
          <w:p w14:paraId="3346FDF3" w14:textId="77777777" w:rsidR="00AF0DAA" w:rsidRPr="009D07C7" w:rsidRDefault="00AF0DAA" w:rsidP="00CD5B78">
            <w:pPr>
              <w:ind w:left="360"/>
              <w:jc w:val="center"/>
              <w:rPr>
                <w:sz w:val="22"/>
                <w:szCs w:val="22"/>
              </w:rPr>
            </w:pPr>
          </w:p>
          <w:p w14:paraId="458910F1" w14:textId="77777777" w:rsidR="00AF0DAA" w:rsidRPr="009D07C7" w:rsidRDefault="00AF0DAA" w:rsidP="00CD5B78">
            <w:pPr>
              <w:ind w:left="360"/>
              <w:jc w:val="center"/>
              <w:rPr>
                <w:sz w:val="22"/>
                <w:szCs w:val="22"/>
              </w:rPr>
            </w:pPr>
          </w:p>
          <w:p w14:paraId="365BDA33" w14:textId="77777777" w:rsidR="00AF0DAA" w:rsidRPr="009D07C7" w:rsidRDefault="00AF0DAA" w:rsidP="00CD5B78">
            <w:pPr>
              <w:ind w:left="360"/>
              <w:jc w:val="center"/>
              <w:rPr>
                <w:sz w:val="22"/>
                <w:szCs w:val="22"/>
              </w:rPr>
            </w:pPr>
          </w:p>
          <w:p w14:paraId="7CCE9889" w14:textId="77777777" w:rsidR="00AF0DAA" w:rsidRPr="009D07C7" w:rsidRDefault="00AF0DAA" w:rsidP="00CD5B78">
            <w:pPr>
              <w:ind w:left="360"/>
              <w:jc w:val="center"/>
              <w:rPr>
                <w:sz w:val="22"/>
                <w:szCs w:val="22"/>
              </w:rPr>
            </w:pPr>
          </w:p>
          <w:p w14:paraId="1CBEC0F3" w14:textId="77777777" w:rsidR="00AF0DAA" w:rsidRPr="009D07C7" w:rsidRDefault="00AF0DAA" w:rsidP="00CD5B78">
            <w:pPr>
              <w:ind w:left="360"/>
              <w:jc w:val="center"/>
              <w:rPr>
                <w:sz w:val="22"/>
                <w:szCs w:val="22"/>
              </w:rPr>
            </w:pPr>
          </w:p>
          <w:p w14:paraId="5CFCE372" w14:textId="77777777" w:rsidR="00AF0DAA" w:rsidRPr="009D07C7" w:rsidRDefault="00AF0DAA" w:rsidP="00CD5B78">
            <w:pPr>
              <w:ind w:left="360"/>
              <w:jc w:val="center"/>
              <w:rPr>
                <w:sz w:val="22"/>
                <w:szCs w:val="22"/>
              </w:rPr>
            </w:pPr>
          </w:p>
          <w:p w14:paraId="6CAE7CF4" w14:textId="77777777" w:rsidR="00AF0DAA" w:rsidRPr="009D07C7" w:rsidRDefault="00AF0DAA" w:rsidP="00CD5B78">
            <w:pPr>
              <w:ind w:left="360"/>
              <w:jc w:val="center"/>
              <w:rPr>
                <w:sz w:val="22"/>
                <w:szCs w:val="22"/>
              </w:rPr>
            </w:pPr>
          </w:p>
          <w:p w14:paraId="7CFC9619" w14:textId="77777777" w:rsidR="00AF0DAA" w:rsidRPr="009D07C7" w:rsidRDefault="00AF0DAA" w:rsidP="00CD5B78">
            <w:pPr>
              <w:ind w:left="360"/>
              <w:jc w:val="center"/>
              <w:rPr>
                <w:sz w:val="22"/>
                <w:szCs w:val="22"/>
              </w:rPr>
            </w:pPr>
          </w:p>
          <w:p w14:paraId="011727DC" w14:textId="77777777" w:rsidR="00AF0DAA" w:rsidRPr="009D07C7" w:rsidRDefault="00AF0DAA" w:rsidP="00CD5B78">
            <w:pPr>
              <w:ind w:left="360"/>
              <w:jc w:val="center"/>
              <w:rPr>
                <w:sz w:val="22"/>
                <w:szCs w:val="22"/>
              </w:rPr>
            </w:pPr>
          </w:p>
          <w:p w14:paraId="7060D040" w14:textId="77777777" w:rsidR="00AF0DAA" w:rsidRPr="009D07C7" w:rsidRDefault="00AF0DAA" w:rsidP="00CD5B78">
            <w:pPr>
              <w:ind w:left="360"/>
              <w:jc w:val="center"/>
              <w:rPr>
                <w:sz w:val="22"/>
                <w:szCs w:val="22"/>
              </w:rPr>
            </w:pPr>
          </w:p>
          <w:p w14:paraId="4D222355" w14:textId="77777777" w:rsidR="00AF0DAA" w:rsidRPr="009D07C7" w:rsidRDefault="00AF0DAA" w:rsidP="00CD5B78">
            <w:pPr>
              <w:ind w:left="360"/>
              <w:jc w:val="center"/>
              <w:rPr>
                <w:sz w:val="22"/>
                <w:szCs w:val="22"/>
              </w:rPr>
            </w:pPr>
          </w:p>
          <w:p w14:paraId="31B25177" w14:textId="77777777" w:rsidR="00AF0DAA" w:rsidRPr="009D07C7" w:rsidRDefault="00AF0DAA" w:rsidP="00CD5B78">
            <w:pPr>
              <w:ind w:left="360"/>
              <w:jc w:val="center"/>
              <w:rPr>
                <w:sz w:val="22"/>
                <w:szCs w:val="22"/>
              </w:rPr>
            </w:pPr>
          </w:p>
          <w:p w14:paraId="20EC170D" w14:textId="77777777" w:rsidR="00AF0DAA" w:rsidRPr="009D07C7" w:rsidRDefault="00AF0DAA" w:rsidP="00CD5B78">
            <w:pPr>
              <w:ind w:left="360"/>
              <w:jc w:val="center"/>
              <w:rPr>
                <w:sz w:val="22"/>
                <w:szCs w:val="22"/>
              </w:rPr>
            </w:pPr>
          </w:p>
          <w:p w14:paraId="1C3D18E1" w14:textId="77777777" w:rsidR="00AF0DAA" w:rsidRPr="009D07C7" w:rsidRDefault="00AF0DAA" w:rsidP="00CD5B78">
            <w:pPr>
              <w:ind w:left="360"/>
              <w:jc w:val="center"/>
              <w:rPr>
                <w:sz w:val="22"/>
                <w:szCs w:val="22"/>
              </w:rPr>
            </w:pPr>
          </w:p>
          <w:p w14:paraId="6EF02A54" w14:textId="77777777" w:rsidR="00AF0DAA" w:rsidRPr="009D07C7" w:rsidRDefault="00AF0DAA" w:rsidP="00CD5B78">
            <w:pPr>
              <w:ind w:left="360"/>
              <w:jc w:val="center"/>
              <w:rPr>
                <w:sz w:val="22"/>
                <w:szCs w:val="22"/>
              </w:rPr>
            </w:pPr>
          </w:p>
          <w:p w14:paraId="0E94DA5F" w14:textId="77777777" w:rsidR="00AF0DAA" w:rsidRPr="009D07C7" w:rsidRDefault="00AF0DAA" w:rsidP="00CD5B78">
            <w:pPr>
              <w:ind w:left="360"/>
              <w:jc w:val="center"/>
              <w:rPr>
                <w:sz w:val="22"/>
                <w:szCs w:val="22"/>
              </w:rPr>
            </w:pPr>
          </w:p>
          <w:p w14:paraId="7F8A19BE" w14:textId="77777777" w:rsidR="00AF0DAA" w:rsidRPr="009D07C7" w:rsidRDefault="00AF0DAA" w:rsidP="00CD5B78">
            <w:pPr>
              <w:ind w:left="360"/>
              <w:jc w:val="center"/>
              <w:rPr>
                <w:sz w:val="22"/>
                <w:szCs w:val="22"/>
              </w:rPr>
            </w:pPr>
          </w:p>
          <w:p w14:paraId="700A86CE" w14:textId="77777777" w:rsidR="00AF0DAA" w:rsidRPr="009D07C7" w:rsidRDefault="00AF0DAA" w:rsidP="00CD5B78">
            <w:pPr>
              <w:ind w:left="360"/>
              <w:jc w:val="center"/>
              <w:rPr>
                <w:sz w:val="22"/>
                <w:szCs w:val="22"/>
              </w:rPr>
            </w:pPr>
          </w:p>
          <w:p w14:paraId="5EE2858B" w14:textId="77777777" w:rsidR="00AF0DAA" w:rsidRPr="009D07C7" w:rsidRDefault="00AF0DAA" w:rsidP="00CD5B78">
            <w:pPr>
              <w:ind w:left="360"/>
              <w:jc w:val="center"/>
              <w:rPr>
                <w:sz w:val="22"/>
                <w:szCs w:val="22"/>
              </w:rPr>
            </w:pPr>
          </w:p>
          <w:p w14:paraId="332A1750" w14:textId="77777777" w:rsidR="00AF0DAA" w:rsidRPr="009D07C7" w:rsidRDefault="00AF0DAA" w:rsidP="00CD5B78">
            <w:pPr>
              <w:ind w:left="360"/>
              <w:jc w:val="center"/>
              <w:rPr>
                <w:sz w:val="22"/>
                <w:szCs w:val="22"/>
              </w:rPr>
            </w:pPr>
          </w:p>
          <w:p w14:paraId="70CD2E87" w14:textId="77777777" w:rsidR="00AF0DAA" w:rsidRPr="009D07C7" w:rsidRDefault="00AF0DAA" w:rsidP="00CD5B78">
            <w:pPr>
              <w:ind w:left="360"/>
              <w:jc w:val="center"/>
              <w:rPr>
                <w:sz w:val="22"/>
                <w:szCs w:val="22"/>
              </w:rPr>
            </w:pPr>
          </w:p>
          <w:p w14:paraId="0A7EE26A" w14:textId="77777777" w:rsidR="00AF0DAA" w:rsidRPr="009D07C7" w:rsidRDefault="00AF0DAA" w:rsidP="00CD5B78">
            <w:pPr>
              <w:ind w:left="360"/>
              <w:jc w:val="center"/>
              <w:rPr>
                <w:sz w:val="22"/>
                <w:szCs w:val="22"/>
              </w:rPr>
            </w:pPr>
          </w:p>
          <w:p w14:paraId="40C0A93E" w14:textId="77777777" w:rsidR="00AF0DAA" w:rsidRPr="009D07C7" w:rsidRDefault="00AF0DAA" w:rsidP="00CD5B78">
            <w:pPr>
              <w:ind w:left="360"/>
              <w:jc w:val="center"/>
              <w:rPr>
                <w:sz w:val="22"/>
                <w:szCs w:val="22"/>
              </w:rPr>
            </w:pPr>
          </w:p>
          <w:p w14:paraId="3A2973DC" w14:textId="77777777" w:rsidR="00AF0DAA" w:rsidRPr="009D07C7" w:rsidRDefault="00AF0DAA" w:rsidP="00CD5B78">
            <w:pPr>
              <w:ind w:left="360"/>
              <w:jc w:val="center"/>
              <w:rPr>
                <w:sz w:val="22"/>
                <w:szCs w:val="22"/>
              </w:rPr>
            </w:pPr>
          </w:p>
          <w:p w14:paraId="634E8B92" w14:textId="77777777" w:rsidR="00AF0DAA" w:rsidRPr="009D07C7" w:rsidRDefault="00AF0DAA" w:rsidP="00CD5B78">
            <w:pPr>
              <w:ind w:left="360"/>
              <w:jc w:val="center"/>
              <w:rPr>
                <w:sz w:val="22"/>
                <w:szCs w:val="22"/>
              </w:rPr>
            </w:pPr>
          </w:p>
          <w:p w14:paraId="574D5946" w14:textId="77777777" w:rsidR="00AF0DAA" w:rsidRPr="009D07C7" w:rsidRDefault="00AF0DAA" w:rsidP="00CD5B78">
            <w:pPr>
              <w:ind w:left="360"/>
              <w:jc w:val="center"/>
              <w:rPr>
                <w:sz w:val="22"/>
                <w:szCs w:val="22"/>
              </w:rPr>
            </w:pPr>
          </w:p>
          <w:p w14:paraId="4D66A839" w14:textId="77777777" w:rsidR="00AF0DAA" w:rsidRPr="009D07C7" w:rsidRDefault="00AF0DAA" w:rsidP="00CD5B78">
            <w:pPr>
              <w:ind w:left="360"/>
              <w:jc w:val="center"/>
              <w:rPr>
                <w:sz w:val="22"/>
                <w:szCs w:val="22"/>
              </w:rPr>
            </w:pPr>
          </w:p>
          <w:p w14:paraId="76506BB8" w14:textId="77777777" w:rsidR="00AF0DAA" w:rsidRPr="009D07C7" w:rsidRDefault="00AF0DAA" w:rsidP="00CD5B78">
            <w:pPr>
              <w:ind w:left="360"/>
              <w:jc w:val="center"/>
              <w:rPr>
                <w:sz w:val="22"/>
                <w:szCs w:val="22"/>
              </w:rPr>
            </w:pPr>
          </w:p>
          <w:p w14:paraId="064169F5" w14:textId="77777777" w:rsidR="00AF0DAA" w:rsidRPr="009D07C7" w:rsidRDefault="00AF0DAA" w:rsidP="00CD5B78">
            <w:pPr>
              <w:ind w:left="360"/>
              <w:jc w:val="center"/>
              <w:rPr>
                <w:sz w:val="22"/>
                <w:szCs w:val="22"/>
              </w:rPr>
            </w:pPr>
          </w:p>
          <w:p w14:paraId="168A9614" w14:textId="77777777" w:rsidR="00AF0DAA" w:rsidRPr="009D07C7" w:rsidRDefault="00AF0DAA" w:rsidP="00CD5B78">
            <w:pPr>
              <w:ind w:left="360"/>
              <w:jc w:val="center"/>
              <w:rPr>
                <w:sz w:val="22"/>
                <w:szCs w:val="22"/>
              </w:rPr>
            </w:pPr>
          </w:p>
          <w:p w14:paraId="5DAC27F9" w14:textId="77777777" w:rsidR="00AF0DAA" w:rsidRPr="009D07C7" w:rsidRDefault="00AF0DAA" w:rsidP="00CD5B78">
            <w:pPr>
              <w:ind w:left="360"/>
              <w:jc w:val="center"/>
              <w:rPr>
                <w:sz w:val="22"/>
                <w:szCs w:val="22"/>
              </w:rPr>
            </w:pPr>
          </w:p>
          <w:p w14:paraId="308669D4" w14:textId="77777777" w:rsidR="00AF0DAA" w:rsidRPr="009D07C7" w:rsidRDefault="00AF0DAA" w:rsidP="00CD5B78">
            <w:pPr>
              <w:ind w:left="360"/>
              <w:jc w:val="center"/>
              <w:rPr>
                <w:sz w:val="22"/>
                <w:szCs w:val="22"/>
              </w:rPr>
            </w:pPr>
          </w:p>
          <w:p w14:paraId="2F96B2D9" w14:textId="77777777" w:rsidR="00AF0DAA" w:rsidRPr="009D07C7" w:rsidRDefault="00AF0DAA" w:rsidP="00CD5B78">
            <w:pPr>
              <w:ind w:left="360"/>
              <w:jc w:val="center"/>
              <w:rPr>
                <w:sz w:val="22"/>
                <w:szCs w:val="22"/>
              </w:rPr>
            </w:pPr>
          </w:p>
          <w:p w14:paraId="4357F796" w14:textId="77777777" w:rsidR="00AF0DAA" w:rsidRPr="009D07C7" w:rsidRDefault="00AF0DAA" w:rsidP="00CD5B78">
            <w:pPr>
              <w:ind w:left="360"/>
              <w:jc w:val="center"/>
              <w:rPr>
                <w:sz w:val="22"/>
                <w:szCs w:val="22"/>
              </w:rPr>
            </w:pPr>
          </w:p>
          <w:p w14:paraId="20C21DA5" w14:textId="77777777" w:rsidR="00AF0DAA" w:rsidRPr="009D07C7" w:rsidRDefault="00AF0DAA" w:rsidP="00CD5B78">
            <w:pPr>
              <w:ind w:left="360"/>
              <w:jc w:val="center"/>
              <w:rPr>
                <w:sz w:val="22"/>
                <w:szCs w:val="22"/>
              </w:rPr>
            </w:pPr>
          </w:p>
          <w:p w14:paraId="51F808D9" w14:textId="77777777" w:rsidR="00AF0DAA" w:rsidRPr="009D07C7" w:rsidRDefault="00AF0DAA" w:rsidP="00CD5B78">
            <w:pPr>
              <w:ind w:left="360"/>
              <w:jc w:val="center"/>
              <w:rPr>
                <w:sz w:val="22"/>
                <w:szCs w:val="22"/>
              </w:rPr>
            </w:pPr>
          </w:p>
          <w:p w14:paraId="337858BB" w14:textId="77777777" w:rsidR="00AF0DAA" w:rsidRPr="009D07C7" w:rsidRDefault="00AF0DAA" w:rsidP="00CD5B78">
            <w:pPr>
              <w:ind w:left="360"/>
              <w:jc w:val="center"/>
              <w:rPr>
                <w:sz w:val="22"/>
                <w:szCs w:val="22"/>
              </w:rPr>
            </w:pPr>
          </w:p>
          <w:p w14:paraId="2AF0C6FE" w14:textId="77777777" w:rsidR="00AF0DAA" w:rsidRPr="009D07C7" w:rsidRDefault="00AF0DAA" w:rsidP="00CD5B78">
            <w:pPr>
              <w:ind w:left="360"/>
              <w:jc w:val="center"/>
              <w:rPr>
                <w:sz w:val="22"/>
                <w:szCs w:val="22"/>
              </w:rPr>
            </w:pPr>
          </w:p>
          <w:p w14:paraId="720EB591" w14:textId="77777777" w:rsidR="00AF0DAA" w:rsidRPr="009D07C7" w:rsidRDefault="00AF0DAA" w:rsidP="00CD5B78">
            <w:pPr>
              <w:ind w:left="360"/>
              <w:jc w:val="center"/>
              <w:rPr>
                <w:sz w:val="22"/>
                <w:szCs w:val="22"/>
              </w:rPr>
            </w:pPr>
          </w:p>
          <w:p w14:paraId="39587DD4" w14:textId="77777777" w:rsidR="00AF0DAA" w:rsidRPr="009D07C7" w:rsidRDefault="00AF0DAA" w:rsidP="00CD5B78">
            <w:pPr>
              <w:ind w:left="360"/>
              <w:jc w:val="center"/>
              <w:rPr>
                <w:sz w:val="22"/>
                <w:szCs w:val="22"/>
              </w:rPr>
            </w:pPr>
          </w:p>
          <w:p w14:paraId="12DFF520" w14:textId="77777777" w:rsidR="00AF0DAA" w:rsidRPr="009D07C7" w:rsidRDefault="00AF0DAA" w:rsidP="00CD5B78">
            <w:pPr>
              <w:ind w:left="360"/>
              <w:jc w:val="center"/>
              <w:rPr>
                <w:sz w:val="22"/>
                <w:szCs w:val="22"/>
              </w:rPr>
            </w:pPr>
          </w:p>
          <w:p w14:paraId="34CB8E90" w14:textId="77777777" w:rsidR="00AF0DAA" w:rsidRPr="009D07C7" w:rsidRDefault="00AF0DAA" w:rsidP="00CD5B78">
            <w:pPr>
              <w:ind w:left="360"/>
              <w:jc w:val="center"/>
              <w:rPr>
                <w:sz w:val="22"/>
                <w:szCs w:val="22"/>
              </w:rPr>
            </w:pPr>
          </w:p>
          <w:p w14:paraId="0028FE29" w14:textId="77777777" w:rsidR="00AF0DAA" w:rsidRPr="009D07C7" w:rsidRDefault="00AF0DAA" w:rsidP="00CD5B78">
            <w:pPr>
              <w:ind w:left="360"/>
              <w:jc w:val="center"/>
              <w:rPr>
                <w:sz w:val="22"/>
                <w:szCs w:val="22"/>
              </w:rPr>
            </w:pPr>
          </w:p>
          <w:p w14:paraId="3FAB2830" w14:textId="77777777" w:rsidR="00AF0DAA" w:rsidRPr="009D07C7" w:rsidRDefault="00AF0DAA" w:rsidP="00CD5B78">
            <w:pPr>
              <w:ind w:left="360"/>
              <w:jc w:val="center"/>
              <w:rPr>
                <w:sz w:val="22"/>
                <w:szCs w:val="22"/>
              </w:rPr>
            </w:pPr>
          </w:p>
          <w:p w14:paraId="2431833F" w14:textId="77777777" w:rsidR="00AF0DAA" w:rsidRPr="009D07C7" w:rsidRDefault="00AF0DAA" w:rsidP="00CD5B78">
            <w:pPr>
              <w:ind w:left="360"/>
              <w:jc w:val="center"/>
              <w:rPr>
                <w:sz w:val="22"/>
                <w:szCs w:val="22"/>
              </w:rPr>
            </w:pPr>
          </w:p>
          <w:p w14:paraId="1A84C688" w14:textId="77777777" w:rsidR="00AF0DAA" w:rsidRPr="009D07C7" w:rsidRDefault="00AF0DAA" w:rsidP="00CD5B78">
            <w:pPr>
              <w:ind w:left="360"/>
              <w:jc w:val="center"/>
              <w:rPr>
                <w:sz w:val="22"/>
                <w:szCs w:val="22"/>
              </w:rPr>
            </w:pPr>
          </w:p>
          <w:p w14:paraId="72C0FD2F" w14:textId="77777777" w:rsidR="00AF0DAA" w:rsidRPr="009D07C7" w:rsidRDefault="00AF0DAA" w:rsidP="00CD5B78">
            <w:pPr>
              <w:ind w:left="360"/>
              <w:jc w:val="center"/>
              <w:rPr>
                <w:sz w:val="22"/>
                <w:szCs w:val="22"/>
              </w:rPr>
            </w:pPr>
          </w:p>
          <w:p w14:paraId="70BDF399" w14:textId="77777777" w:rsidR="00AF0DAA" w:rsidRPr="009D07C7" w:rsidRDefault="00AF0DAA" w:rsidP="003C2BFB">
            <w:pPr>
              <w:numPr>
                <w:ilvl w:val="0"/>
                <w:numId w:val="10"/>
              </w:numPr>
              <w:jc w:val="center"/>
              <w:rPr>
                <w:sz w:val="22"/>
                <w:szCs w:val="22"/>
              </w:rPr>
            </w:pPr>
            <w:r w:rsidRPr="009D07C7">
              <w:rPr>
                <w:sz w:val="22"/>
                <w:szCs w:val="22"/>
              </w:rPr>
              <w:t>Pēc formulas</w:t>
            </w:r>
          </w:p>
          <w:p w14:paraId="42373AC7" w14:textId="77777777" w:rsidR="00AF0DAA" w:rsidRPr="009D07C7" w:rsidRDefault="00AF0DAA" w:rsidP="00CD5B78">
            <w:pPr>
              <w:ind w:left="360"/>
              <w:jc w:val="center"/>
              <w:rPr>
                <w:sz w:val="22"/>
                <w:szCs w:val="22"/>
              </w:rPr>
            </w:pPr>
          </w:p>
          <w:p w14:paraId="5BD6CA6B" w14:textId="77777777" w:rsidR="00AF0DAA" w:rsidRPr="009D07C7" w:rsidRDefault="00AF0DAA" w:rsidP="00CD5B78">
            <w:pPr>
              <w:ind w:left="360"/>
              <w:jc w:val="center"/>
              <w:rPr>
                <w:sz w:val="22"/>
                <w:szCs w:val="22"/>
              </w:rPr>
            </w:pPr>
          </w:p>
          <w:p w14:paraId="5A205AD0" w14:textId="77777777" w:rsidR="00AF0DAA" w:rsidRPr="009D07C7" w:rsidRDefault="00AF0DAA" w:rsidP="00CD5B78">
            <w:pPr>
              <w:ind w:left="360"/>
              <w:jc w:val="center"/>
              <w:rPr>
                <w:sz w:val="22"/>
                <w:szCs w:val="22"/>
              </w:rPr>
            </w:pPr>
          </w:p>
          <w:p w14:paraId="2648C5A4" w14:textId="77777777" w:rsidR="00AF0DAA" w:rsidRPr="009D07C7" w:rsidRDefault="00AF0DAA" w:rsidP="00CD5B78">
            <w:pPr>
              <w:ind w:left="360"/>
              <w:jc w:val="center"/>
              <w:rPr>
                <w:sz w:val="22"/>
                <w:szCs w:val="22"/>
              </w:rPr>
            </w:pPr>
          </w:p>
          <w:p w14:paraId="50D2E384" w14:textId="77777777" w:rsidR="00AF0DAA" w:rsidRPr="009D07C7" w:rsidRDefault="00AF0DAA" w:rsidP="00CD5B78">
            <w:pPr>
              <w:ind w:left="360"/>
              <w:jc w:val="center"/>
              <w:rPr>
                <w:sz w:val="22"/>
                <w:szCs w:val="22"/>
              </w:rPr>
            </w:pPr>
          </w:p>
          <w:p w14:paraId="456F2EF9" w14:textId="77777777" w:rsidR="00AF0DAA" w:rsidRPr="009D07C7" w:rsidRDefault="00AF0DAA" w:rsidP="00CD5B78">
            <w:pPr>
              <w:ind w:left="360"/>
              <w:jc w:val="center"/>
              <w:rPr>
                <w:sz w:val="22"/>
                <w:szCs w:val="22"/>
              </w:rPr>
            </w:pPr>
          </w:p>
          <w:p w14:paraId="5569CF23" w14:textId="77777777" w:rsidR="00AF0DAA" w:rsidRPr="009D07C7" w:rsidRDefault="00AF0DAA" w:rsidP="00CD5B78">
            <w:pPr>
              <w:ind w:left="360"/>
              <w:jc w:val="center"/>
              <w:rPr>
                <w:sz w:val="22"/>
                <w:szCs w:val="22"/>
              </w:rPr>
            </w:pPr>
          </w:p>
          <w:p w14:paraId="573C52E5" w14:textId="77777777" w:rsidR="00AF0DAA" w:rsidRPr="009D07C7" w:rsidRDefault="00AF0DAA" w:rsidP="00CD5B78">
            <w:pPr>
              <w:ind w:left="360"/>
              <w:jc w:val="center"/>
              <w:rPr>
                <w:sz w:val="22"/>
                <w:szCs w:val="22"/>
              </w:rPr>
            </w:pPr>
          </w:p>
          <w:p w14:paraId="40450B96" w14:textId="77777777" w:rsidR="00AF0DAA" w:rsidRPr="009D07C7" w:rsidRDefault="00AF0DAA" w:rsidP="00CD5B78">
            <w:pPr>
              <w:ind w:left="360"/>
              <w:jc w:val="center"/>
              <w:rPr>
                <w:sz w:val="22"/>
                <w:szCs w:val="22"/>
              </w:rPr>
            </w:pPr>
          </w:p>
          <w:p w14:paraId="33DA3EA7" w14:textId="77777777" w:rsidR="00AF0DAA" w:rsidRPr="009D07C7" w:rsidRDefault="00AF0DAA" w:rsidP="00CD5B78">
            <w:pPr>
              <w:ind w:left="360"/>
              <w:jc w:val="center"/>
              <w:rPr>
                <w:sz w:val="22"/>
                <w:szCs w:val="22"/>
              </w:rPr>
            </w:pPr>
          </w:p>
          <w:p w14:paraId="56A2593E" w14:textId="77777777" w:rsidR="00AF0DAA" w:rsidRPr="009D07C7" w:rsidRDefault="00AF0DAA" w:rsidP="00CD5B78">
            <w:pPr>
              <w:ind w:left="360"/>
              <w:jc w:val="center"/>
              <w:rPr>
                <w:sz w:val="22"/>
                <w:szCs w:val="22"/>
              </w:rPr>
            </w:pPr>
          </w:p>
          <w:p w14:paraId="2D4691CA" w14:textId="77777777" w:rsidR="00AF0DAA" w:rsidRPr="009D07C7" w:rsidRDefault="00AF0DAA" w:rsidP="00CD5B78">
            <w:pPr>
              <w:ind w:left="360"/>
              <w:jc w:val="center"/>
              <w:rPr>
                <w:sz w:val="22"/>
                <w:szCs w:val="22"/>
              </w:rPr>
            </w:pPr>
          </w:p>
          <w:p w14:paraId="0753CC4D" w14:textId="77777777" w:rsidR="00AF0DAA" w:rsidRPr="009D07C7" w:rsidRDefault="00AF0DAA" w:rsidP="00CD5B78">
            <w:pPr>
              <w:ind w:left="360"/>
              <w:jc w:val="center"/>
              <w:rPr>
                <w:sz w:val="22"/>
                <w:szCs w:val="22"/>
              </w:rPr>
            </w:pPr>
          </w:p>
          <w:p w14:paraId="34D15840" w14:textId="77777777" w:rsidR="00AF0DAA" w:rsidRPr="009D07C7" w:rsidRDefault="00AF0DAA" w:rsidP="00CD5B78">
            <w:pPr>
              <w:ind w:left="360"/>
              <w:jc w:val="center"/>
              <w:rPr>
                <w:sz w:val="22"/>
                <w:szCs w:val="22"/>
              </w:rPr>
            </w:pPr>
          </w:p>
          <w:p w14:paraId="5E336484" w14:textId="77777777" w:rsidR="00AF0DAA" w:rsidRPr="009D07C7" w:rsidRDefault="00AF0DAA" w:rsidP="00CD5B78">
            <w:pPr>
              <w:ind w:left="360"/>
              <w:jc w:val="center"/>
              <w:rPr>
                <w:sz w:val="22"/>
                <w:szCs w:val="22"/>
              </w:rPr>
            </w:pPr>
          </w:p>
          <w:p w14:paraId="74A410EA" w14:textId="77777777" w:rsidR="00AF0DAA" w:rsidRPr="009D07C7" w:rsidRDefault="00AF0DAA" w:rsidP="00CD5B78">
            <w:pPr>
              <w:ind w:left="360"/>
              <w:jc w:val="center"/>
              <w:rPr>
                <w:sz w:val="22"/>
                <w:szCs w:val="22"/>
              </w:rPr>
            </w:pPr>
          </w:p>
          <w:p w14:paraId="5529CF9A" w14:textId="77777777" w:rsidR="00AF0DAA" w:rsidRPr="009D07C7" w:rsidRDefault="00AF0DAA" w:rsidP="00CD5B78">
            <w:pPr>
              <w:ind w:left="360"/>
              <w:jc w:val="center"/>
              <w:rPr>
                <w:sz w:val="22"/>
                <w:szCs w:val="22"/>
              </w:rPr>
            </w:pPr>
          </w:p>
          <w:p w14:paraId="400E24AE" w14:textId="77777777" w:rsidR="00AF0DAA" w:rsidRPr="009D07C7" w:rsidRDefault="00AF0DAA" w:rsidP="00CD5B78">
            <w:pPr>
              <w:ind w:left="360"/>
              <w:jc w:val="center"/>
              <w:rPr>
                <w:sz w:val="22"/>
                <w:szCs w:val="22"/>
              </w:rPr>
            </w:pPr>
          </w:p>
          <w:p w14:paraId="79A209F7" w14:textId="77777777" w:rsidR="00AF0DAA" w:rsidRPr="009D07C7" w:rsidRDefault="00AF0DAA" w:rsidP="00CD5B78">
            <w:pPr>
              <w:ind w:left="360"/>
              <w:jc w:val="center"/>
              <w:rPr>
                <w:sz w:val="22"/>
                <w:szCs w:val="22"/>
              </w:rPr>
            </w:pPr>
          </w:p>
          <w:p w14:paraId="58653201" w14:textId="77777777" w:rsidR="00AF0DAA" w:rsidRPr="009D07C7" w:rsidRDefault="00AF0DAA" w:rsidP="00CD5B78">
            <w:pPr>
              <w:ind w:left="360"/>
              <w:jc w:val="center"/>
              <w:rPr>
                <w:sz w:val="22"/>
                <w:szCs w:val="22"/>
              </w:rPr>
            </w:pPr>
          </w:p>
          <w:p w14:paraId="3D3C3225" w14:textId="77777777" w:rsidR="00AF0DAA" w:rsidRPr="009D07C7" w:rsidRDefault="00AF0DAA" w:rsidP="00CD5B78">
            <w:pPr>
              <w:ind w:left="360"/>
              <w:jc w:val="center"/>
              <w:rPr>
                <w:sz w:val="22"/>
                <w:szCs w:val="22"/>
              </w:rPr>
            </w:pPr>
          </w:p>
          <w:p w14:paraId="495C90DB" w14:textId="77777777" w:rsidR="00AF0DAA" w:rsidRPr="009D07C7" w:rsidRDefault="00AF0DAA" w:rsidP="00CD5B78">
            <w:pPr>
              <w:ind w:left="360"/>
              <w:jc w:val="center"/>
              <w:rPr>
                <w:sz w:val="22"/>
                <w:szCs w:val="22"/>
              </w:rPr>
            </w:pPr>
          </w:p>
          <w:p w14:paraId="7F2DEC1C" w14:textId="77777777" w:rsidR="00AF0DAA" w:rsidRPr="009D07C7" w:rsidRDefault="00AF0DAA" w:rsidP="00CD5B78">
            <w:pPr>
              <w:ind w:left="360"/>
              <w:jc w:val="center"/>
              <w:rPr>
                <w:sz w:val="22"/>
                <w:szCs w:val="22"/>
              </w:rPr>
            </w:pPr>
          </w:p>
          <w:p w14:paraId="1FC7E41C" w14:textId="77777777" w:rsidR="00AF0DAA" w:rsidRPr="009D07C7" w:rsidRDefault="00AF0DAA" w:rsidP="00CD5B78">
            <w:pPr>
              <w:ind w:left="360"/>
              <w:jc w:val="center"/>
              <w:rPr>
                <w:sz w:val="22"/>
                <w:szCs w:val="22"/>
              </w:rPr>
            </w:pPr>
          </w:p>
          <w:p w14:paraId="5286DC6A" w14:textId="77777777" w:rsidR="00AF0DAA" w:rsidRPr="009D07C7" w:rsidRDefault="00AF0DAA" w:rsidP="00CD5B78">
            <w:pPr>
              <w:ind w:left="360"/>
              <w:jc w:val="center"/>
              <w:rPr>
                <w:sz w:val="22"/>
                <w:szCs w:val="22"/>
              </w:rPr>
            </w:pPr>
          </w:p>
          <w:p w14:paraId="1AC2AAF9" w14:textId="77777777" w:rsidR="00AF0DAA" w:rsidRPr="009D07C7" w:rsidRDefault="00AF0DAA" w:rsidP="00CD5B78">
            <w:pPr>
              <w:ind w:left="360"/>
              <w:jc w:val="center"/>
              <w:rPr>
                <w:sz w:val="22"/>
                <w:szCs w:val="22"/>
              </w:rPr>
            </w:pPr>
          </w:p>
          <w:p w14:paraId="3925CB7A" w14:textId="77777777" w:rsidR="00AF0DAA" w:rsidRPr="009D07C7" w:rsidRDefault="00AF0DAA" w:rsidP="00CD5B78">
            <w:pPr>
              <w:ind w:left="360"/>
              <w:jc w:val="center"/>
              <w:rPr>
                <w:sz w:val="22"/>
                <w:szCs w:val="22"/>
              </w:rPr>
            </w:pPr>
          </w:p>
          <w:p w14:paraId="79FBE9EC" w14:textId="77777777" w:rsidR="00AF0DAA" w:rsidRPr="009D07C7" w:rsidRDefault="00AF0DAA" w:rsidP="00CD5B78">
            <w:pPr>
              <w:ind w:left="360"/>
              <w:jc w:val="center"/>
              <w:rPr>
                <w:sz w:val="22"/>
                <w:szCs w:val="22"/>
              </w:rPr>
            </w:pPr>
          </w:p>
          <w:p w14:paraId="504A046F" w14:textId="77777777" w:rsidR="00AF0DAA" w:rsidRPr="009D07C7" w:rsidRDefault="00AF0DAA" w:rsidP="00CD5B78">
            <w:pPr>
              <w:ind w:left="360"/>
              <w:jc w:val="center"/>
              <w:rPr>
                <w:sz w:val="22"/>
                <w:szCs w:val="22"/>
              </w:rPr>
            </w:pPr>
          </w:p>
          <w:p w14:paraId="42990059" w14:textId="77777777" w:rsidR="00AF0DAA" w:rsidRPr="009D07C7" w:rsidRDefault="00AF0DAA" w:rsidP="00CD5B78">
            <w:pPr>
              <w:ind w:left="360"/>
              <w:jc w:val="center"/>
              <w:rPr>
                <w:sz w:val="22"/>
                <w:szCs w:val="22"/>
              </w:rPr>
            </w:pPr>
          </w:p>
          <w:p w14:paraId="02AF3100" w14:textId="77777777" w:rsidR="00AF0DAA" w:rsidRPr="009D07C7" w:rsidRDefault="00AF0DAA" w:rsidP="00CD5B78">
            <w:pPr>
              <w:ind w:left="360"/>
              <w:jc w:val="center"/>
              <w:rPr>
                <w:sz w:val="22"/>
                <w:szCs w:val="22"/>
              </w:rPr>
            </w:pPr>
          </w:p>
          <w:p w14:paraId="15F7783D" w14:textId="77777777" w:rsidR="00AF0DAA" w:rsidRPr="009D07C7" w:rsidRDefault="00AF0DAA" w:rsidP="00CD5B78">
            <w:pPr>
              <w:ind w:left="360"/>
              <w:jc w:val="center"/>
              <w:rPr>
                <w:sz w:val="22"/>
                <w:szCs w:val="22"/>
              </w:rPr>
            </w:pPr>
          </w:p>
          <w:p w14:paraId="51CC6838" w14:textId="77777777" w:rsidR="00AF0DAA" w:rsidRPr="009D07C7" w:rsidRDefault="00AF0DAA" w:rsidP="00CD5B78">
            <w:pPr>
              <w:ind w:left="360"/>
              <w:jc w:val="center"/>
              <w:rPr>
                <w:sz w:val="22"/>
                <w:szCs w:val="22"/>
              </w:rPr>
            </w:pPr>
          </w:p>
          <w:p w14:paraId="29C715B2" w14:textId="77777777" w:rsidR="00AF0DAA" w:rsidRPr="009D07C7" w:rsidRDefault="00AF0DAA" w:rsidP="00CD5B78">
            <w:pPr>
              <w:ind w:left="360"/>
              <w:jc w:val="center"/>
              <w:rPr>
                <w:sz w:val="22"/>
                <w:szCs w:val="22"/>
              </w:rPr>
            </w:pPr>
          </w:p>
          <w:p w14:paraId="55980FFA" w14:textId="77777777" w:rsidR="00AF0DAA" w:rsidRPr="009D07C7" w:rsidRDefault="00AF0DAA" w:rsidP="00CD5B78">
            <w:pPr>
              <w:ind w:left="360"/>
              <w:jc w:val="center"/>
              <w:rPr>
                <w:sz w:val="22"/>
                <w:szCs w:val="22"/>
              </w:rPr>
            </w:pPr>
          </w:p>
          <w:p w14:paraId="45A9BA25" w14:textId="77777777" w:rsidR="00AF0DAA" w:rsidRPr="009D07C7" w:rsidRDefault="00AF0DAA" w:rsidP="00CD5B78">
            <w:pPr>
              <w:ind w:left="360"/>
              <w:jc w:val="center"/>
              <w:rPr>
                <w:sz w:val="22"/>
                <w:szCs w:val="22"/>
              </w:rPr>
            </w:pPr>
          </w:p>
          <w:p w14:paraId="1B56EC7E" w14:textId="77777777" w:rsidR="00AF0DAA" w:rsidRPr="009D07C7" w:rsidRDefault="00AF0DAA" w:rsidP="00CD5B78">
            <w:pPr>
              <w:ind w:left="360"/>
              <w:jc w:val="center"/>
              <w:rPr>
                <w:sz w:val="22"/>
                <w:szCs w:val="22"/>
              </w:rPr>
            </w:pPr>
          </w:p>
          <w:p w14:paraId="70BB6973" w14:textId="77777777" w:rsidR="00AF0DAA" w:rsidRPr="009D07C7" w:rsidRDefault="00AF0DAA" w:rsidP="00CD5B78">
            <w:pPr>
              <w:ind w:left="360"/>
              <w:jc w:val="center"/>
              <w:rPr>
                <w:sz w:val="22"/>
                <w:szCs w:val="22"/>
              </w:rPr>
            </w:pPr>
          </w:p>
          <w:p w14:paraId="60C94C26" w14:textId="77777777" w:rsidR="00AF0DAA" w:rsidRPr="009D07C7" w:rsidRDefault="00AF0DAA" w:rsidP="00CD5B78">
            <w:pPr>
              <w:ind w:left="360"/>
              <w:jc w:val="center"/>
              <w:rPr>
                <w:sz w:val="22"/>
                <w:szCs w:val="22"/>
              </w:rPr>
            </w:pPr>
          </w:p>
          <w:p w14:paraId="257B32E3" w14:textId="77777777" w:rsidR="00AF0DAA" w:rsidRPr="009D07C7" w:rsidRDefault="00AF0DAA" w:rsidP="00CD5B78">
            <w:pPr>
              <w:ind w:left="360"/>
              <w:jc w:val="center"/>
              <w:rPr>
                <w:sz w:val="22"/>
                <w:szCs w:val="22"/>
              </w:rPr>
            </w:pPr>
          </w:p>
          <w:p w14:paraId="025BE338" w14:textId="77777777" w:rsidR="00AF0DAA" w:rsidRPr="009D07C7" w:rsidRDefault="00AF0DAA" w:rsidP="00CD5B78">
            <w:pPr>
              <w:ind w:left="360"/>
              <w:jc w:val="center"/>
              <w:rPr>
                <w:sz w:val="22"/>
                <w:szCs w:val="22"/>
              </w:rPr>
            </w:pPr>
          </w:p>
          <w:p w14:paraId="1A288A07" w14:textId="77777777" w:rsidR="00AF0DAA" w:rsidRPr="009D07C7" w:rsidRDefault="00AF0DAA" w:rsidP="00CD5B78">
            <w:pPr>
              <w:ind w:left="360"/>
              <w:jc w:val="center"/>
              <w:rPr>
                <w:sz w:val="22"/>
                <w:szCs w:val="22"/>
              </w:rPr>
            </w:pPr>
          </w:p>
          <w:p w14:paraId="2043E83E" w14:textId="77777777" w:rsidR="00AF0DAA" w:rsidRPr="009D07C7" w:rsidRDefault="00AF0DAA" w:rsidP="00CD5B78">
            <w:pPr>
              <w:ind w:left="360"/>
              <w:jc w:val="center"/>
              <w:rPr>
                <w:sz w:val="22"/>
                <w:szCs w:val="22"/>
              </w:rPr>
            </w:pPr>
          </w:p>
          <w:p w14:paraId="683157C1" w14:textId="77777777" w:rsidR="00AF0DAA" w:rsidRPr="009D07C7" w:rsidRDefault="00AF0DAA" w:rsidP="00CD5B78">
            <w:pPr>
              <w:ind w:left="360"/>
              <w:jc w:val="center"/>
              <w:rPr>
                <w:sz w:val="22"/>
                <w:szCs w:val="22"/>
              </w:rPr>
            </w:pPr>
          </w:p>
          <w:p w14:paraId="48008105" w14:textId="77777777" w:rsidR="00AF0DAA" w:rsidRPr="009D07C7" w:rsidRDefault="00AF0DAA" w:rsidP="00CD5B78">
            <w:pPr>
              <w:ind w:left="360"/>
              <w:jc w:val="center"/>
              <w:rPr>
                <w:sz w:val="22"/>
                <w:szCs w:val="22"/>
              </w:rPr>
            </w:pPr>
          </w:p>
          <w:p w14:paraId="56628AF6" w14:textId="77777777" w:rsidR="00AF0DAA" w:rsidRPr="009D07C7" w:rsidRDefault="00AF0DAA" w:rsidP="00CD5B78">
            <w:pPr>
              <w:ind w:left="360"/>
              <w:jc w:val="center"/>
              <w:rPr>
                <w:sz w:val="22"/>
                <w:szCs w:val="22"/>
              </w:rPr>
            </w:pPr>
          </w:p>
          <w:p w14:paraId="1D79D9A9" w14:textId="77777777" w:rsidR="00AF0DAA" w:rsidRPr="009D07C7" w:rsidRDefault="00AF0DAA" w:rsidP="00CD5B78">
            <w:pPr>
              <w:ind w:left="360"/>
              <w:jc w:val="center"/>
              <w:rPr>
                <w:sz w:val="22"/>
                <w:szCs w:val="22"/>
              </w:rPr>
            </w:pPr>
          </w:p>
          <w:p w14:paraId="669FD726" w14:textId="77777777" w:rsidR="00AF0DAA" w:rsidRPr="009D07C7" w:rsidRDefault="00AF0DAA" w:rsidP="00CD5B78">
            <w:pPr>
              <w:ind w:left="360"/>
              <w:jc w:val="center"/>
              <w:rPr>
                <w:sz w:val="22"/>
                <w:szCs w:val="22"/>
              </w:rPr>
            </w:pPr>
          </w:p>
          <w:p w14:paraId="1D0DB3D5" w14:textId="77777777" w:rsidR="00AF0DAA" w:rsidRPr="009D07C7" w:rsidRDefault="00AF0DAA" w:rsidP="00CD5B78">
            <w:pPr>
              <w:ind w:left="360"/>
              <w:jc w:val="center"/>
              <w:rPr>
                <w:sz w:val="22"/>
                <w:szCs w:val="22"/>
              </w:rPr>
            </w:pPr>
          </w:p>
          <w:p w14:paraId="31B8C2DA" w14:textId="77777777" w:rsidR="00AF0DAA" w:rsidRPr="009D07C7" w:rsidRDefault="00AF0DAA" w:rsidP="00CD5B78">
            <w:pPr>
              <w:ind w:left="360"/>
              <w:jc w:val="center"/>
              <w:rPr>
                <w:sz w:val="22"/>
                <w:szCs w:val="22"/>
              </w:rPr>
            </w:pPr>
          </w:p>
          <w:p w14:paraId="1818022F" w14:textId="77777777" w:rsidR="00AF0DAA" w:rsidRPr="009D07C7" w:rsidRDefault="00AF0DAA" w:rsidP="00CD5B78">
            <w:pPr>
              <w:ind w:left="360"/>
              <w:jc w:val="center"/>
              <w:rPr>
                <w:sz w:val="22"/>
                <w:szCs w:val="22"/>
              </w:rPr>
            </w:pPr>
          </w:p>
          <w:p w14:paraId="6C188882" w14:textId="77777777" w:rsidR="00AF0DAA" w:rsidRPr="009D07C7" w:rsidRDefault="00AF0DAA" w:rsidP="00CD5B78">
            <w:pPr>
              <w:ind w:left="360"/>
              <w:jc w:val="center"/>
              <w:rPr>
                <w:sz w:val="22"/>
                <w:szCs w:val="22"/>
              </w:rPr>
            </w:pPr>
          </w:p>
          <w:p w14:paraId="0439CF5A" w14:textId="77777777" w:rsidR="00AF0DAA" w:rsidRPr="009D07C7" w:rsidRDefault="00AF0DAA" w:rsidP="00CD5B78">
            <w:pPr>
              <w:ind w:left="360"/>
              <w:jc w:val="center"/>
              <w:rPr>
                <w:sz w:val="22"/>
                <w:szCs w:val="22"/>
              </w:rPr>
            </w:pPr>
          </w:p>
          <w:p w14:paraId="38D4675E" w14:textId="77777777" w:rsidR="00AF0DAA" w:rsidRPr="009D07C7" w:rsidRDefault="00AF0DAA" w:rsidP="00CD5B78">
            <w:pPr>
              <w:ind w:left="360"/>
              <w:jc w:val="center"/>
              <w:rPr>
                <w:sz w:val="22"/>
                <w:szCs w:val="22"/>
              </w:rPr>
            </w:pPr>
          </w:p>
          <w:p w14:paraId="478E596A" w14:textId="77777777" w:rsidR="00AF0DAA" w:rsidRPr="009D07C7" w:rsidRDefault="00AF0DAA" w:rsidP="00CD5B78">
            <w:pPr>
              <w:ind w:left="360"/>
              <w:jc w:val="center"/>
              <w:rPr>
                <w:sz w:val="22"/>
                <w:szCs w:val="22"/>
              </w:rPr>
            </w:pPr>
          </w:p>
          <w:p w14:paraId="3B09104C" w14:textId="77777777" w:rsidR="00AF0DAA" w:rsidRPr="009D07C7" w:rsidRDefault="00AF0DAA" w:rsidP="00CD5B78">
            <w:pPr>
              <w:ind w:left="360"/>
              <w:jc w:val="center"/>
              <w:rPr>
                <w:sz w:val="22"/>
                <w:szCs w:val="22"/>
              </w:rPr>
            </w:pPr>
          </w:p>
          <w:p w14:paraId="65C316D0" w14:textId="77777777" w:rsidR="00AF0DAA" w:rsidRPr="009D07C7" w:rsidRDefault="00AF0DAA" w:rsidP="00CD5B78">
            <w:pPr>
              <w:ind w:left="360"/>
              <w:jc w:val="center"/>
              <w:rPr>
                <w:sz w:val="22"/>
                <w:szCs w:val="22"/>
              </w:rPr>
            </w:pPr>
          </w:p>
          <w:p w14:paraId="084F164A" w14:textId="77777777" w:rsidR="00AF0DAA" w:rsidRPr="009D07C7" w:rsidRDefault="00AF0DAA" w:rsidP="00CD5B78">
            <w:pPr>
              <w:ind w:left="360"/>
              <w:jc w:val="center"/>
              <w:rPr>
                <w:sz w:val="22"/>
                <w:szCs w:val="22"/>
              </w:rPr>
            </w:pPr>
          </w:p>
          <w:p w14:paraId="5D16B780" w14:textId="77777777" w:rsidR="00AF0DAA" w:rsidRPr="009D07C7" w:rsidRDefault="00AF0DAA" w:rsidP="00CD5B78">
            <w:pPr>
              <w:ind w:left="360"/>
              <w:jc w:val="center"/>
              <w:rPr>
                <w:sz w:val="22"/>
                <w:szCs w:val="22"/>
              </w:rPr>
            </w:pPr>
          </w:p>
          <w:p w14:paraId="4B8A8031" w14:textId="77777777" w:rsidR="00AF0DAA" w:rsidRPr="009D07C7" w:rsidRDefault="00AF0DAA" w:rsidP="00CD5B78">
            <w:pPr>
              <w:ind w:left="360"/>
              <w:jc w:val="center"/>
              <w:rPr>
                <w:sz w:val="22"/>
                <w:szCs w:val="22"/>
              </w:rPr>
            </w:pPr>
          </w:p>
          <w:p w14:paraId="1B64B7B6" w14:textId="77777777" w:rsidR="00AF0DAA" w:rsidRPr="009D07C7" w:rsidRDefault="00AF0DAA" w:rsidP="00CD5B78">
            <w:pPr>
              <w:ind w:left="360"/>
              <w:jc w:val="center"/>
              <w:rPr>
                <w:sz w:val="22"/>
                <w:szCs w:val="22"/>
              </w:rPr>
            </w:pPr>
          </w:p>
          <w:p w14:paraId="01E887C7" w14:textId="77777777" w:rsidR="00AF0DAA" w:rsidRPr="009D07C7" w:rsidRDefault="00AF0DAA" w:rsidP="00CD5B78">
            <w:pPr>
              <w:ind w:left="360"/>
              <w:jc w:val="center"/>
              <w:rPr>
                <w:sz w:val="22"/>
                <w:szCs w:val="22"/>
              </w:rPr>
            </w:pPr>
          </w:p>
          <w:p w14:paraId="50AD9BC8" w14:textId="77777777" w:rsidR="00AF0DAA" w:rsidRPr="009D07C7" w:rsidRDefault="00AF0DAA" w:rsidP="00CD5B78">
            <w:pPr>
              <w:ind w:left="360"/>
              <w:jc w:val="center"/>
              <w:rPr>
                <w:sz w:val="22"/>
                <w:szCs w:val="22"/>
              </w:rPr>
            </w:pPr>
          </w:p>
          <w:p w14:paraId="2F3E343B" w14:textId="77777777" w:rsidR="00AF0DAA" w:rsidRPr="009D07C7" w:rsidRDefault="00AF0DAA" w:rsidP="00CD5B78">
            <w:pPr>
              <w:ind w:left="360"/>
              <w:jc w:val="center"/>
              <w:rPr>
                <w:sz w:val="22"/>
                <w:szCs w:val="22"/>
              </w:rPr>
            </w:pPr>
          </w:p>
          <w:p w14:paraId="00668D7C" w14:textId="77777777" w:rsidR="00330137" w:rsidRPr="009D07C7" w:rsidRDefault="00330137" w:rsidP="00CD5B78">
            <w:pPr>
              <w:jc w:val="center"/>
              <w:rPr>
                <w:sz w:val="22"/>
                <w:szCs w:val="22"/>
              </w:rPr>
            </w:pPr>
          </w:p>
          <w:p w14:paraId="794E7D8C" w14:textId="77777777" w:rsidR="00C47CA4" w:rsidRPr="009D07C7" w:rsidRDefault="00C47CA4" w:rsidP="00CD5B78">
            <w:pPr>
              <w:jc w:val="center"/>
              <w:rPr>
                <w:sz w:val="22"/>
                <w:szCs w:val="22"/>
              </w:rPr>
            </w:pPr>
          </w:p>
          <w:p w14:paraId="53336A35" w14:textId="77777777" w:rsidR="00C47CA4" w:rsidRPr="009D07C7" w:rsidRDefault="00C47CA4" w:rsidP="00CD5B78">
            <w:pPr>
              <w:jc w:val="center"/>
              <w:rPr>
                <w:sz w:val="22"/>
                <w:szCs w:val="22"/>
              </w:rPr>
            </w:pPr>
          </w:p>
          <w:p w14:paraId="767E4F56" w14:textId="77777777" w:rsidR="00C47CA4" w:rsidRPr="009D07C7" w:rsidRDefault="00C47CA4" w:rsidP="00CD5B78">
            <w:pPr>
              <w:jc w:val="center"/>
              <w:rPr>
                <w:sz w:val="22"/>
                <w:szCs w:val="22"/>
              </w:rPr>
            </w:pPr>
          </w:p>
          <w:p w14:paraId="66B69F82" w14:textId="77777777" w:rsidR="00C47CA4" w:rsidRPr="009D07C7" w:rsidRDefault="00C47CA4" w:rsidP="00CD5B78">
            <w:pPr>
              <w:jc w:val="center"/>
              <w:rPr>
                <w:sz w:val="22"/>
                <w:szCs w:val="22"/>
              </w:rPr>
            </w:pPr>
          </w:p>
          <w:p w14:paraId="07123571" w14:textId="77777777" w:rsidR="00C47CA4" w:rsidRPr="009D07C7" w:rsidRDefault="00C47CA4" w:rsidP="00CD5B78">
            <w:pPr>
              <w:jc w:val="center"/>
              <w:rPr>
                <w:sz w:val="22"/>
                <w:szCs w:val="22"/>
              </w:rPr>
            </w:pPr>
          </w:p>
          <w:p w14:paraId="6098E326" w14:textId="77777777" w:rsidR="00C47CA4" w:rsidRPr="009D07C7" w:rsidRDefault="00C47CA4" w:rsidP="00CD5B78">
            <w:pPr>
              <w:jc w:val="center"/>
              <w:rPr>
                <w:sz w:val="22"/>
                <w:szCs w:val="22"/>
              </w:rPr>
            </w:pPr>
          </w:p>
          <w:p w14:paraId="644F245C" w14:textId="77777777" w:rsidR="00C47CA4" w:rsidRPr="009D07C7" w:rsidRDefault="00C47CA4" w:rsidP="00CD5B78">
            <w:pPr>
              <w:jc w:val="center"/>
              <w:rPr>
                <w:sz w:val="22"/>
                <w:szCs w:val="22"/>
              </w:rPr>
            </w:pPr>
          </w:p>
          <w:p w14:paraId="4B32CB6B" w14:textId="77777777" w:rsidR="00C47CA4" w:rsidRPr="009D07C7" w:rsidRDefault="00C47CA4" w:rsidP="00CD5B78">
            <w:pPr>
              <w:jc w:val="center"/>
              <w:rPr>
                <w:sz w:val="22"/>
                <w:szCs w:val="22"/>
              </w:rPr>
            </w:pPr>
          </w:p>
          <w:p w14:paraId="76B29438" w14:textId="77777777" w:rsidR="00C47CA4" w:rsidRPr="009D07C7" w:rsidRDefault="00C47CA4" w:rsidP="00CD5B78">
            <w:pPr>
              <w:jc w:val="center"/>
              <w:rPr>
                <w:sz w:val="22"/>
                <w:szCs w:val="22"/>
              </w:rPr>
            </w:pPr>
          </w:p>
          <w:p w14:paraId="3BED2C11" w14:textId="77777777" w:rsidR="00C47CA4" w:rsidRPr="009D07C7" w:rsidRDefault="00C47CA4" w:rsidP="00CD5B78">
            <w:pPr>
              <w:jc w:val="center"/>
              <w:rPr>
                <w:sz w:val="22"/>
                <w:szCs w:val="22"/>
              </w:rPr>
            </w:pPr>
          </w:p>
          <w:p w14:paraId="14C06E9B" w14:textId="77777777" w:rsidR="00C47CA4" w:rsidRPr="009D07C7" w:rsidRDefault="00C47CA4" w:rsidP="00CD5B78">
            <w:pPr>
              <w:jc w:val="center"/>
              <w:rPr>
                <w:sz w:val="22"/>
                <w:szCs w:val="22"/>
              </w:rPr>
            </w:pPr>
          </w:p>
          <w:p w14:paraId="355FEF66" w14:textId="77777777" w:rsidR="00C47CA4" w:rsidRPr="009D07C7" w:rsidRDefault="00C47CA4" w:rsidP="00CD5B78">
            <w:pPr>
              <w:jc w:val="center"/>
              <w:rPr>
                <w:sz w:val="22"/>
                <w:szCs w:val="22"/>
              </w:rPr>
            </w:pPr>
          </w:p>
          <w:p w14:paraId="3C6FF3A5" w14:textId="77777777" w:rsidR="00C47CA4" w:rsidRPr="009D07C7" w:rsidRDefault="00C47CA4" w:rsidP="00CD5B78">
            <w:pPr>
              <w:jc w:val="center"/>
              <w:rPr>
                <w:sz w:val="22"/>
                <w:szCs w:val="22"/>
              </w:rPr>
            </w:pPr>
          </w:p>
          <w:p w14:paraId="2DE2E7BF" w14:textId="77777777" w:rsidR="00C47CA4" w:rsidRPr="009D07C7" w:rsidRDefault="00C47CA4" w:rsidP="00CD5B78">
            <w:pPr>
              <w:jc w:val="center"/>
              <w:rPr>
                <w:sz w:val="22"/>
                <w:szCs w:val="22"/>
              </w:rPr>
            </w:pPr>
          </w:p>
          <w:p w14:paraId="74E145F4" w14:textId="77777777" w:rsidR="00C47CA4" w:rsidRPr="009D07C7" w:rsidRDefault="00C47CA4" w:rsidP="00CD5B78">
            <w:pPr>
              <w:jc w:val="center"/>
              <w:rPr>
                <w:sz w:val="22"/>
                <w:szCs w:val="22"/>
              </w:rPr>
            </w:pPr>
          </w:p>
          <w:p w14:paraId="01458AFE" w14:textId="77777777" w:rsidR="00C47CA4" w:rsidRPr="009D07C7" w:rsidRDefault="00C47CA4" w:rsidP="00CD5B78">
            <w:pPr>
              <w:jc w:val="center"/>
              <w:rPr>
                <w:sz w:val="22"/>
                <w:szCs w:val="22"/>
              </w:rPr>
            </w:pPr>
          </w:p>
          <w:p w14:paraId="63F1F4BC" w14:textId="77777777" w:rsidR="00C47CA4" w:rsidRPr="009D07C7" w:rsidRDefault="00C47CA4" w:rsidP="00CD5B78">
            <w:pPr>
              <w:jc w:val="center"/>
              <w:rPr>
                <w:sz w:val="22"/>
                <w:szCs w:val="22"/>
              </w:rPr>
            </w:pPr>
          </w:p>
          <w:p w14:paraId="5446AE8F" w14:textId="77777777" w:rsidR="00C47CA4" w:rsidRPr="009D07C7" w:rsidRDefault="00C47CA4" w:rsidP="00CD5B78">
            <w:pPr>
              <w:jc w:val="center"/>
              <w:rPr>
                <w:sz w:val="22"/>
                <w:szCs w:val="22"/>
              </w:rPr>
            </w:pPr>
          </w:p>
          <w:p w14:paraId="36A37639" w14:textId="77777777" w:rsidR="00C47CA4" w:rsidRPr="009D07C7" w:rsidRDefault="00C47CA4" w:rsidP="00CD5B78">
            <w:pPr>
              <w:jc w:val="center"/>
              <w:rPr>
                <w:sz w:val="22"/>
                <w:szCs w:val="22"/>
              </w:rPr>
            </w:pPr>
          </w:p>
          <w:p w14:paraId="37FB2D1E" w14:textId="77777777" w:rsidR="00C47CA4" w:rsidRPr="009D07C7" w:rsidRDefault="00C47CA4" w:rsidP="00CD5B78">
            <w:pPr>
              <w:jc w:val="center"/>
              <w:rPr>
                <w:sz w:val="22"/>
                <w:szCs w:val="22"/>
              </w:rPr>
            </w:pPr>
          </w:p>
          <w:p w14:paraId="39FEAB85" w14:textId="77777777" w:rsidR="00C47CA4" w:rsidRPr="009D07C7" w:rsidRDefault="00C47CA4" w:rsidP="00CD5B78">
            <w:pPr>
              <w:jc w:val="center"/>
              <w:rPr>
                <w:sz w:val="22"/>
                <w:szCs w:val="22"/>
              </w:rPr>
            </w:pPr>
          </w:p>
          <w:p w14:paraId="7A06DC10" w14:textId="77777777" w:rsidR="00C47CA4" w:rsidRPr="009D07C7" w:rsidRDefault="00C47CA4" w:rsidP="00CD5B78">
            <w:pPr>
              <w:jc w:val="center"/>
              <w:rPr>
                <w:sz w:val="22"/>
                <w:szCs w:val="22"/>
              </w:rPr>
            </w:pPr>
          </w:p>
          <w:p w14:paraId="74354E57" w14:textId="77777777" w:rsidR="00C47CA4" w:rsidRPr="009D07C7" w:rsidRDefault="00C47CA4" w:rsidP="00CD5B78">
            <w:pPr>
              <w:jc w:val="center"/>
              <w:rPr>
                <w:sz w:val="22"/>
                <w:szCs w:val="22"/>
              </w:rPr>
            </w:pPr>
          </w:p>
          <w:p w14:paraId="3C0B5B9D" w14:textId="77777777" w:rsidR="00C47CA4" w:rsidRPr="009D07C7" w:rsidRDefault="00C47CA4" w:rsidP="00CD5B78">
            <w:pPr>
              <w:jc w:val="center"/>
              <w:rPr>
                <w:sz w:val="22"/>
                <w:szCs w:val="22"/>
              </w:rPr>
            </w:pPr>
          </w:p>
          <w:p w14:paraId="1AC66131" w14:textId="77777777" w:rsidR="00C47CA4" w:rsidRPr="009D07C7" w:rsidRDefault="00C47CA4" w:rsidP="00CD5B78">
            <w:pPr>
              <w:jc w:val="center"/>
              <w:rPr>
                <w:sz w:val="22"/>
                <w:szCs w:val="22"/>
              </w:rPr>
            </w:pPr>
          </w:p>
          <w:p w14:paraId="478B4F65" w14:textId="77777777" w:rsidR="00C47CA4" w:rsidRPr="009D07C7" w:rsidRDefault="00C47CA4" w:rsidP="00CD5B78">
            <w:pPr>
              <w:jc w:val="center"/>
              <w:rPr>
                <w:sz w:val="22"/>
                <w:szCs w:val="22"/>
              </w:rPr>
            </w:pPr>
          </w:p>
          <w:p w14:paraId="4671B12E" w14:textId="77777777" w:rsidR="00C47CA4" w:rsidRPr="009D07C7" w:rsidRDefault="00C47CA4" w:rsidP="00CD5B78">
            <w:pPr>
              <w:jc w:val="center"/>
              <w:rPr>
                <w:sz w:val="22"/>
                <w:szCs w:val="22"/>
              </w:rPr>
            </w:pPr>
          </w:p>
          <w:p w14:paraId="12A7033C" w14:textId="77777777" w:rsidR="00C47CA4" w:rsidRPr="009D07C7" w:rsidRDefault="00C47CA4" w:rsidP="00CD5B78">
            <w:pPr>
              <w:jc w:val="center"/>
              <w:rPr>
                <w:sz w:val="22"/>
                <w:szCs w:val="22"/>
              </w:rPr>
            </w:pPr>
          </w:p>
          <w:p w14:paraId="2C33E040" w14:textId="77777777" w:rsidR="00C47CA4" w:rsidRPr="009D07C7" w:rsidRDefault="00C47CA4" w:rsidP="00CD5B78">
            <w:pPr>
              <w:jc w:val="center"/>
              <w:rPr>
                <w:sz w:val="22"/>
                <w:szCs w:val="22"/>
              </w:rPr>
            </w:pPr>
          </w:p>
          <w:p w14:paraId="5D2ECDB7" w14:textId="77777777" w:rsidR="00C47CA4" w:rsidRPr="009D07C7" w:rsidRDefault="00C47CA4" w:rsidP="00CD5B78">
            <w:pPr>
              <w:jc w:val="center"/>
              <w:rPr>
                <w:sz w:val="22"/>
                <w:szCs w:val="22"/>
              </w:rPr>
            </w:pPr>
          </w:p>
          <w:p w14:paraId="6796D6D8" w14:textId="77777777" w:rsidR="00C47CA4" w:rsidRPr="009D07C7" w:rsidRDefault="00C47CA4" w:rsidP="00CD5B78">
            <w:pPr>
              <w:jc w:val="center"/>
              <w:rPr>
                <w:sz w:val="22"/>
                <w:szCs w:val="22"/>
              </w:rPr>
            </w:pPr>
          </w:p>
          <w:p w14:paraId="20BD15DB" w14:textId="77777777" w:rsidR="00AF0DAA" w:rsidRPr="009D07C7" w:rsidRDefault="00AF0DAA" w:rsidP="003C2BFB">
            <w:pPr>
              <w:numPr>
                <w:ilvl w:val="0"/>
                <w:numId w:val="10"/>
              </w:numPr>
              <w:tabs>
                <w:tab w:val="clear" w:pos="720"/>
                <w:tab w:val="num" w:pos="256"/>
              </w:tabs>
              <w:ind w:left="397"/>
              <w:jc w:val="center"/>
              <w:rPr>
                <w:sz w:val="22"/>
                <w:szCs w:val="22"/>
              </w:rPr>
            </w:pPr>
            <w:r w:rsidRPr="009D07C7">
              <w:rPr>
                <w:sz w:val="22"/>
                <w:szCs w:val="22"/>
              </w:rPr>
              <w:t>100%</w:t>
            </w:r>
            <w:r w:rsidR="00B07DC4" w:rsidRPr="009D07C7">
              <w:rPr>
                <w:sz w:val="22"/>
                <w:szCs w:val="22"/>
              </w:rPr>
              <w:t xml:space="preserve"> projekta attiecināmās izmaksas</w:t>
            </w:r>
          </w:p>
          <w:p w14:paraId="10FC2FEE" w14:textId="77777777" w:rsidR="002952D1" w:rsidRPr="009D07C7" w:rsidRDefault="002952D1" w:rsidP="00CD5B78">
            <w:pPr>
              <w:jc w:val="center"/>
              <w:rPr>
                <w:sz w:val="22"/>
                <w:szCs w:val="22"/>
              </w:rPr>
            </w:pPr>
          </w:p>
          <w:p w14:paraId="35C767DF" w14:textId="77777777" w:rsidR="00563EE9" w:rsidRPr="009D07C7" w:rsidRDefault="00563EE9" w:rsidP="00CD5B78">
            <w:pPr>
              <w:jc w:val="center"/>
              <w:rPr>
                <w:sz w:val="22"/>
                <w:szCs w:val="22"/>
              </w:rPr>
            </w:pPr>
          </w:p>
          <w:p w14:paraId="3DE8A882" w14:textId="77777777" w:rsidR="00563EE9" w:rsidRPr="009D07C7" w:rsidRDefault="00563EE9" w:rsidP="00CD5B78">
            <w:pPr>
              <w:jc w:val="center"/>
              <w:rPr>
                <w:sz w:val="22"/>
                <w:szCs w:val="22"/>
              </w:rPr>
            </w:pPr>
          </w:p>
          <w:p w14:paraId="21955C8B" w14:textId="77777777" w:rsidR="00563EE9" w:rsidRPr="009D07C7" w:rsidRDefault="00563EE9" w:rsidP="00CD5B78">
            <w:pPr>
              <w:jc w:val="center"/>
              <w:rPr>
                <w:sz w:val="22"/>
                <w:szCs w:val="22"/>
              </w:rPr>
            </w:pPr>
          </w:p>
          <w:p w14:paraId="7A0C07C0" w14:textId="77777777" w:rsidR="00563EE9" w:rsidRPr="009D07C7" w:rsidRDefault="00563EE9" w:rsidP="00CD5B78">
            <w:pPr>
              <w:jc w:val="center"/>
              <w:rPr>
                <w:sz w:val="22"/>
                <w:szCs w:val="22"/>
              </w:rPr>
            </w:pPr>
          </w:p>
          <w:p w14:paraId="3A9246FD" w14:textId="77777777" w:rsidR="00563EE9" w:rsidRPr="009D07C7" w:rsidRDefault="00563EE9" w:rsidP="00CD5B78">
            <w:pPr>
              <w:jc w:val="center"/>
              <w:rPr>
                <w:sz w:val="22"/>
                <w:szCs w:val="22"/>
              </w:rPr>
            </w:pPr>
          </w:p>
          <w:p w14:paraId="18BA23AA" w14:textId="77777777" w:rsidR="00563EE9" w:rsidRPr="009D07C7" w:rsidRDefault="00563EE9" w:rsidP="00CD5B78">
            <w:pPr>
              <w:jc w:val="center"/>
              <w:rPr>
                <w:sz w:val="22"/>
                <w:szCs w:val="22"/>
              </w:rPr>
            </w:pPr>
          </w:p>
          <w:p w14:paraId="37F6FCBC" w14:textId="77777777" w:rsidR="00563EE9" w:rsidRPr="009D07C7" w:rsidRDefault="00563EE9" w:rsidP="00CD5B78">
            <w:pPr>
              <w:jc w:val="center"/>
              <w:rPr>
                <w:sz w:val="22"/>
                <w:szCs w:val="22"/>
              </w:rPr>
            </w:pPr>
          </w:p>
          <w:p w14:paraId="194A992F" w14:textId="77777777" w:rsidR="00563EE9" w:rsidRPr="009D07C7" w:rsidRDefault="00563EE9" w:rsidP="00CD5B78">
            <w:pPr>
              <w:jc w:val="center"/>
              <w:rPr>
                <w:sz w:val="22"/>
                <w:szCs w:val="22"/>
              </w:rPr>
            </w:pPr>
          </w:p>
          <w:p w14:paraId="5DE34E3B" w14:textId="77777777" w:rsidR="00563EE9" w:rsidRPr="009D07C7" w:rsidRDefault="00563EE9" w:rsidP="00CD5B78">
            <w:pPr>
              <w:jc w:val="center"/>
              <w:rPr>
                <w:sz w:val="22"/>
                <w:szCs w:val="22"/>
              </w:rPr>
            </w:pPr>
          </w:p>
          <w:p w14:paraId="743D0313" w14:textId="77777777" w:rsidR="00563EE9" w:rsidRPr="009D07C7" w:rsidRDefault="00563EE9" w:rsidP="00CD5B78">
            <w:pPr>
              <w:jc w:val="center"/>
              <w:rPr>
                <w:sz w:val="22"/>
                <w:szCs w:val="22"/>
              </w:rPr>
            </w:pPr>
          </w:p>
          <w:p w14:paraId="63ABE158" w14:textId="77777777" w:rsidR="00563EE9" w:rsidRPr="009D07C7" w:rsidRDefault="00563EE9" w:rsidP="00CD5B78">
            <w:pPr>
              <w:jc w:val="center"/>
              <w:rPr>
                <w:sz w:val="22"/>
                <w:szCs w:val="22"/>
              </w:rPr>
            </w:pPr>
          </w:p>
          <w:p w14:paraId="53F0C71B" w14:textId="77777777" w:rsidR="00563EE9" w:rsidRPr="009D07C7" w:rsidRDefault="00563EE9" w:rsidP="00CD5B78">
            <w:pPr>
              <w:jc w:val="center"/>
              <w:rPr>
                <w:sz w:val="22"/>
                <w:szCs w:val="22"/>
              </w:rPr>
            </w:pPr>
          </w:p>
          <w:p w14:paraId="5713445A" w14:textId="77777777" w:rsidR="00563EE9" w:rsidRPr="009D07C7" w:rsidRDefault="00563EE9" w:rsidP="00CD5B78">
            <w:pPr>
              <w:jc w:val="center"/>
              <w:rPr>
                <w:sz w:val="22"/>
                <w:szCs w:val="22"/>
              </w:rPr>
            </w:pPr>
          </w:p>
          <w:p w14:paraId="19321FF7" w14:textId="77777777" w:rsidR="00563EE9" w:rsidRPr="009D07C7" w:rsidRDefault="00563EE9" w:rsidP="00CD5B78">
            <w:pPr>
              <w:jc w:val="center"/>
              <w:rPr>
                <w:sz w:val="22"/>
                <w:szCs w:val="22"/>
              </w:rPr>
            </w:pPr>
          </w:p>
          <w:p w14:paraId="33011675" w14:textId="77777777" w:rsidR="00563EE9" w:rsidRPr="009D07C7" w:rsidRDefault="00563EE9" w:rsidP="00CD5B78">
            <w:pPr>
              <w:jc w:val="center"/>
              <w:rPr>
                <w:sz w:val="22"/>
                <w:szCs w:val="22"/>
              </w:rPr>
            </w:pPr>
          </w:p>
          <w:p w14:paraId="4BC7442B" w14:textId="77777777" w:rsidR="00563EE9" w:rsidRPr="009D07C7" w:rsidRDefault="00563EE9" w:rsidP="00CD5B78">
            <w:pPr>
              <w:jc w:val="center"/>
              <w:rPr>
                <w:sz w:val="22"/>
                <w:szCs w:val="22"/>
              </w:rPr>
            </w:pPr>
          </w:p>
          <w:p w14:paraId="368F1245" w14:textId="77777777" w:rsidR="00563EE9" w:rsidRPr="009D07C7" w:rsidRDefault="00563EE9" w:rsidP="00CD5B78">
            <w:pPr>
              <w:jc w:val="center"/>
              <w:rPr>
                <w:sz w:val="22"/>
                <w:szCs w:val="22"/>
              </w:rPr>
            </w:pPr>
          </w:p>
          <w:p w14:paraId="29BCA314" w14:textId="77777777" w:rsidR="00563EE9" w:rsidRPr="009D07C7" w:rsidRDefault="00563EE9" w:rsidP="00CD5B78">
            <w:pPr>
              <w:jc w:val="center"/>
              <w:rPr>
                <w:sz w:val="22"/>
                <w:szCs w:val="22"/>
              </w:rPr>
            </w:pPr>
          </w:p>
          <w:p w14:paraId="44C91114" w14:textId="77777777" w:rsidR="00563EE9" w:rsidRPr="009D07C7" w:rsidRDefault="00563EE9" w:rsidP="00CD5B78">
            <w:pPr>
              <w:jc w:val="center"/>
              <w:rPr>
                <w:sz w:val="22"/>
                <w:szCs w:val="22"/>
              </w:rPr>
            </w:pPr>
          </w:p>
          <w:p w14:paraId="70A10BCC" w14:textId="77777777" w:rsidR="00563EE9" w:rsidRPr="009D07C7" w:rsidRDefault="00563EE9" w:rsidP="00CD5B78">
            <w:pPr>
              <w:jc w:val="center"/>
              <w:rPr>
                <w:sz w:val="22"/>
                <w:szCs w:val="22"/>
              </w:rPr>
            </w:pPr>
          </w:p>
          <w:p w14:paraId="6D4E81A6" w14:textId="77777777" w:rsidR="00563EE9" w:rsidRPr="009D07C7" w:rsidRDefault="00563EE9" w:rsidP="00CD5B78">
            <w:pPr>
              <w:jc w:val="center"/>
              <w:rPr>
                <w:sz w:val="22"/>
                <w:szCs w:val="22"/>
              </w:rPr>
            </w:pPr>
          </w:p>
          <w:p w14:paraId="77D0B6E9" w14:textId="77777777" w:rsidR="00563EE9" w:rsidRPr="009D07C7" w:rsidRDefault="00563EE9" w:rsidP="00CD5B78">
            <w:pPr>
              <w:jc w:val="center"/>
              <w:rPr>
                <w:sz w:val="22"/>
                <w:szCs w:val="22"/>
              </w:rPr>
            </w:pPr>
          </w:p>
          <w:p w14:paraId="1D06015B" w14:textId="77777777" w:rsidR="00563EE9" w:rsidRPr="009D07C7" w:rsidRDefault="00563EE9" w:rsidP="00CD5B78">
            <w:pPr>
              <w:jc w:val="center"/>
              <w:rPr>
                <w:sz w:val="22"/>
                <w:szCs w:val="22"/>
              </w:rPr>
            </w:pPr>
          </w:p>
          <w:p w14:paraId="0A6ECB84" w14:textId="77777777" w:rsidR="00563EE9" w:rsidRPr="009D07C7" w:rsidRDefault="00563EE9" w:rsidP="00CD5B78">
            <w:pPr>
              <w:jc w:val="center"/>
              <w:rPr>
                <w:sz w:val="22"/>
                <w:szCs w:val="22"/>
              </w:rPr>
            </w:pPr>
          </w:p>
          <w:p w14:paraId="5782370E" w14:textId="77777777" w:rsidR="00563EE9" w:rsidRPr="009D07C7" w:rsidRDefault="00563EE9" w:rsidP="00CD5B78">
            <w:pPr>
              <w:jc w:val="center"/>
              <w:rPr>
                <w:sz w:val="22"/>
                <w:szCs w:val="22"/>
              </w:rPr>
            </w:pPr>
          </w:p>
          <w:p w14:paraId="39870574" w14:textId="77777777" w:rsidR="00563EE9" w:rsidRPr="009D07C7" w:rsidRDefault="00563EE9" w:rsidP="00CD5B78">
            <w:pPr>
              <w:jc w:val="center"/>
              <w:rPr>
                <w:sz w:val="22"/>
                <w:szCs w:val="22"/>
              </w:rPr>
            </w:pPr>
          </w:p>
          <w:p w14:paraId="0BE9062A" w14:textId="77777777" w:rsidR="00563EE9" w:rsidRPr="009D07C7" w:rsidRDefault="00563EE9" w:rsidP="00CD5B78">
            <w:pPr>
              <w:jc w:val="center"/>
              <w:rPr>
                <w:sz w:val="22"/>
                <w:szCs w:val="22"/>
              </w:rPr>
            </w:pPr>
          </w:p>
          <w:p w14:paraId="059E36A1" w14:textId="77777777" w:rsidR="00563EE9" w:rsidRPr="009D07C7" w:rsidRDefault="00563EE9" w:rsidP="00CD5B78">
            <w:pPr>
              <w:jc w:val="center"/>
              <w:rPr>
                <w:sz w:val="22"/>
                <w:szCs w:val="22"/>
              </w:rPr>
            </w:pPr>
          </w:p>
          <w:p w14:paraId="21A268E6" w14:textId="77777777" w:rsidR="00563EE9" w:rsidRPr="009D07C7" w:rsidRDefault="00563EE9" w:rsidP="00CD5B78">
            <w:pPr>
              <w:jc w:val="center"/>
              <w:rPr>
                <w:sz w:val="22"/>
                <w:szCs w:val="22"/>
              </w:rPr>
            </w:pPr>
          </w:p>
          <w:p w14:paraId="6E9F120C" w14:textId="77777777" w:rsidR="00563EE9" w:rsidRPr="009D07C7" w:rsidRDefault="00563EE9" w:rsidP="00CD5B78">
            <w:pPr>
              <w:jc w:val="center"/>
              <w:rPr>
                <w:sz w:val="22"/>
                <w:szCs w:val="22"/>
              </w:rPr>
            </w:pPr>
          </w:p>
          <w:p w14:paraId="67845609" w14:textId="77777777" w:rsidR="00563EE9" w:rsidRPr="009D07C7" w:rsidRDefault="00563EE9" w:rsidP="00CD5B78">
            <w:pPr>
              <w:jc w:val="center"/>
              <w:rPr>
                <w:sz w:val="22"/>
                <w:szCs w:val="22"/>
              </w:rPr>
            </w:pPr>
          </w:p>
          <w:p w14:paraId="5AE584E3" w14:textId="77777777" w:rsidR="00563EE9" w:rsidRPr="009D07C7" w:rsidRDefault="00563EE9" w:rsidP="00CD5B78">
            <w:pPr>
              <w:jc w:val="center"/>
              <w:rPr>
                <w:sz w:val="22"/>
                <w:szCs w:val="22"/>
              </w:rPr>
            </w:pPr>
          </w:p>
          <w:p w14:paraId="3227EEB4" w14:textId="77777777" w:rsidR="00563EE9" w:rsidRPr="009D07C7" w:rsidRDefault="00563EE9" w:rsidP="00CD5B78">
            <w:pPr>
              <w:jc w:val="center"/>
              <w:rPr>
                <w:sz w:val="22"/>
                <w:szCs w:val="22"/>
              </w:rPr>
            </w:pPr>
          </w:p>
          <w:p w14:paraId="40FD3AFE" w14:textId="77777777" w:rsidR="00563EE9" w:rsidRPr="009D07C7" w:rsidRDefault="00563EE9" w:rsidP="00CD5B78">
            <w:pPr>
              <w:jc w:val="center"/>
              <w:rPr>
                <w:sz w:val="22"/>
                <w:szCs w:val="22"/>
              </w:rPr>
            </w:pPr>
          </w:p>
          <w:p w14:paraId="4DCD06AD" w14:textId="77777777" w:rsidR="00563EE9" w:rsidRPr="009D07C7" w:rsidRDefault="00563EE9" w:rsidP="00CD5B78">
            <w:pPr>
              <w:jc w:val="center"/>
              <w:rPr>
                <w:sz w:val="22"/>
                <w:szCs w:val="22"/>
              </w:rPr>
            </w:pPr>
          </w:p>
          <w:p w14:paraId="4D8603F9" w14:textId="77777777" w:rsidR="00563EE9" w:rsidRPr="009D07C7" w:rsidRDefault="00563EE9" w:rsidP="00CD5B78">
            <w:pPr>
              <w:jc w:val="center"/>
              <w:rPr>
                <w:sz w:val="22"/>
                <w:szCs w:val="22"/>
              </w:rPr>
            </w:pPr>
          </w:p>
          <w:p w14:paraId="29533B3B" w14:textId="77777777" w:rsidR="00563EE9" w:rsidRPr="009D07C7" w:rsidRDefault="00563EE9" w:rsidP="00CD5B78">
            <w:pPr>
              <w:jc w:val="center"/>
              <w:rPr>
                <w:sz w:val="22"/>
                <w:szCs w:val="22"/>
              </w:rPr>
            </w:pPr>
          </w:p>
          <w:p w14:paraId="7913FCC1" w14:textId="77777777" w:rsidR="00563EE9" w:rsidRPr="009D07C7" w:rsidRDefault="00563EE9" w:rsidP="00CD5B78">
            <w:pPr>
              <w:jc w:val="center"/>
              <w:rPr>
                <w:sz w:val="22"/>
                <w:szCs w:val="22"/>
              </w:rPr>
            </w:pPr>
          </w:p>
          <w:p w14:paraId="0ED46C68" w14:textId="77777777" w:rsidR="00563EE9" w:rsidRPr="009D07C7" w:rsidRDefault="00563EE9" w:rsidP="00CD5B78">
            <w:pPr>
              <w:jc w:val="center"/>
              <w:rPr>
                <w:sz w:val="22"/>
                <w:szCs w:val="22"/>
              </w:rPr>
            </w:pPr>
          </w:p>
          <w:p w14:paraId="064F81AA" w14:textId="77777777" w:rsidR="00563EE9" w:rsidRPr="009D07C7" w:rsidRDefault="00563EE9" w:rsidP="00CD5B78">
            <w:pPr>
              <w:jc w:val="center"/>
              <w:rPr>
                <w:sz w:val="22"/>
                <w:szCs w:val="22"/>
              </w:rPr>
            </w:pPr>
          </w:p>
          <w:p w14:paraId="332E0CDB" w14:textId="77777777" w:rsidR="009E6586" w:rsidRPr="009D07C7" w:rsidRDefault="009E6586" w:rsidP="003C2BFB">
            <w:pPr>
              <w:numPr>
                <w:ilvl w:val="0"/>
                <w:numId w:val="10"/>
              </w:numPr>
              <w:tabs>
                <w:tab w:val="clear" w:pos="720"/>
                <w:tab w:val="num" w:pos="0"/>
              </w:tabs>
              <w:ind w:left="-28" w:firstLine="0"/>
              <w:jc w:val="center"/>
              <w:rPr>
                <w:sz w:val="22"/>
                <w:szCs w:val="22"/>
              </w:rPr>
            </w:pPr>
            <w:r w:rsidRPr="009D07C7">
              <w:rPr>
                <w:sz w:val="22"/>
                <w:szCs w:val="22"/>
              </w:rPr>
              <w:t>Uz pārdošanas rēķina iegūtais labums</w:t>
            </w:r>
          </w:p>
          <w:p w14:paraId="08B00CF2" w14:textId="77777777" w:rsidR="0016547C" w:rsidRPr="009D07C7" w:rsidRDefault="0016547C" w:rsidP="00CD5B78">
            <w:pPr>
              <w:jc w:val="center"/>
              <w:rPr>
                <w:sz w:val="22"/>
                <w:szCs w:val="22"/>
              </w:rPr>
            </w:pPr>
          </w:p>
          <w:p w14:paraId="64ED5C28" w14:textId="77777777" w:rsidR="0016547C" w:rsidRPr="009D07C7" w:rsidRDefault="0016547C" w:rsidP="00CD5B78">
            <w:pPr>
              <w:jc w:val="center"/>
              <w:rPr>
                <w:sz w:val="22"/>
                <w:szCs w:val="22"/>
              </w:rPr>
            </w:pPr>
          </w:p>
          <w:p w14:paraId="00F545DF" w14:textId="77777777" w:rsidR="0016547C" w:rsidRPr="00CD5B78" w:rsidRDefault="0016547C" w:rsidP="003C2BFB">
            <w:pPr>
              <w:numPr>
                <w:ilvl w:val="0"/>
                <w:numId w:val="10"/>
              </w:numPr>
              <w:tabs>
                <w:tab w:val="clear" w:pos="720"/>
                <w:tab w:val="num" w:pos="0"/>
              </w:tabs>
              <w:ind w:left="0" w:firstLine="0"/>
              <w:jc w:val="center"/>
              <w:rPr>
                <w:sz w:val="22"/>
                <w:szCs w:val="22"/>
              </w:rPr>
            </w:pPr>
            <w:r w:rsidRPr="009D07C7">
              <w:rPr>
                <w:sz w:val="22"/>
                <w:szCs w:val="22"/>
              </w:rPr>
              <w:t xml:space="preserve">Ja līdzekļi </w:t>
            </w:r>
            <w:r w:rsidR="001A07CF" w:rsidRPr="009D07C7">
              <w:rPr>
                <w:sz w:val="22"/>
                <w:szCs w:val="22"/>
              </w:rPr>
              <w:t>at</w:t>
            </w:r>
            <w:r w:rsidR="001A07CF">
              <w:rPr>
                <w:sz w:val="22"/>
                <w:szCs w:val="22"/>
              </w:rPr>
              <w:t>sav</w:t>
            </w:r>
            <w:r w:rsidR="001A07CF" w:rsidRPr="009D07C7">
              <w:rPr>
                <w:sz w:val="22"/>
                <w:szCs w:val="22"/>
              </w:rPr>
              <w:t xml:space="preserve">ināti </w:t>
            </w:r>
            <w:r w:rsidRPr="009D07C7">
              <w:rPr>
                <w:sz w:val="22"/>
                <w:szCs w:val="22"/>
              </w:rPr>
              <w:t xml:space="preserve">pirmo trīs </w:t>
            </w:r>
            <w:r w:rsidRPr="00CD5B78">
              <w:rPr>
                <w:sz w:val="22"/>
                <w:szCs w:val="22"/>
              </w:rPr>
              <w:t>gadu laikā 100%;</w:t>
            </w:r>
          </w:p>
          <w:p w14:paraId="5C863F98" w14:textId="77777777" w:rsidR="0016547C" w:rsidRPr="009D07C7" w:rsidRDefault="0016547C" w:rsidP="00CD5B78">
            <w:pPr>
              <w:jc w:val="center"/>
              <w:rPr>
                <w:sz w:val="22"/>
                <w:szCs w:val="22"/>
              </w:rPr>
            </w:pPr>
          </w:p>
          <w:p w14:paraId="2542A448" w14:textId="77777777" w:rsidR="0016547C" w:rsidRPr="009D07C7" w:rsidRDefault="0016547C" w:rsidP="00CD5B78">
            <w:pPr>
              <w:jc w:val="center"/>
              <w:rPr>
                <w:sz w:val="22"/>
                <w:szCs w:val="22"/>
              </w:rPr>
            </w:pPr>
            <w:r w:rsidRPr="009D07C7">
              <w:rPr>
                <w:sz w:val="22"/>
                <w:szCs w:val="22"/>
              </w:rPr>
              <w:t>Ceturtajā gadā – 40%;</w:t>
            </w:r>
          </w:p>
          <w:p w14:paraId="08A518FB" w14:textId="77777777" w:rsidR="0016547C" w:rsidRPr="009D07C7" w:rsidRDefault="0016547C" w:rsidP="00CD5B78">
            <w:pPr>
              <w:jc w:val="center"/>
              <w:rPr>
                <w:sz w:val="22"/>
                <w:szCs w:val="22"/>
              </w:rPr>
            </w:pPr>
          </w:p>
          <w:p w14:paraId="40BBF8DA" w14:textId="77777777" w:rsidR="0016547C" w:rsidRPr="009D07C7" w:rsidRDefault="0016547C" w:rsidP="00CD5B78">
            <w:pPr>
              <w:jc w:val="center"/>
              <w:rPr>
                <w:sz w:val="22"/>
                <w:szCs w:val="22"/>
              </w:rPr>
            </w:pPr>
            <w:r w:rsidRPr="009D07C7">
              <w:rPr>
                <w:sz w:val="22"/>
                <w:szCs w:val="22"/>
              </w:rPr>
              <w:t>Piektajā gadā – 20%</w:t>
            </w:r>
          </w:p>
          <w:p w14:paraId="0646885C" w14:textId="77777777" w:rsidR="00E3107C" w:rsidRPr="009D07C7" w:rsidRDefault="00E3107C" w:rsidP="00CD5B78">
            <w:pPr>
              <w:jc w:val="center"/>
              <w:rPr>
                <w:sz w:val="22"/>
                <w:szCs w:val="22"/>
              </w:rPr>
            </w:pPr>
          </w:p>
          <w:p w14:paraId="5AE9D7A2" w14:textId="77777777" w:rsidR="00E3107C" w:rsidRPr="009D07C7" w:rsidRDefault="00E3107C" w:rsidP="00CD5B78">
            <w:pPr>
              <w:jc w:val="center"/>
              <w:rPr>
                <w:sz w:val="22"/>
                <w:szCs w:val="22"/>
              </w:rPr>
            </w:pPr>
            <w:r w:rsidRPr="009D07C7">
              <w:rPr>
                <w:sz w:val="22"/>
                <w:szCs w:val="22"/>
              </w:rPr>
              <w:t>2 e) 100% korekcija izdevumiem</w:t>
            </w:r>
            <w:r w:rsidR="00A96D32" w:rsidRPr="009D07C7">
              <w:rPr>
                <w:sz w:val="22"/>
                <w:szCs w:val="22"/>
              </w:rPr>
              <w:t xml:space="preserve"> saistībā ar darbībām,</w:t>
            </w:r>
            <w:r w:rsidRPr="009D07C7">
              <w:rPr>
                <w:sz w:val="22"/>
                <w:szCs w:val="22"/>
              </w:rPr>
              <w:t xml:space="preserve"> kur</w:t>
            </w:r>
            <w:r w:rsidR="00A96D32" w:rsidRPr="009D07C7">
              <w:rPr>
                <w:sz w:val="22"/>
                <w:szCs w:val="22"/>
              </w:rPr>
              <w:t>as</w:t>
            </w:r>
            <w:r w:rsidRPr="009D07C7">
              <w:rPr>
                <w:sz w:val="22"/>
                <w:szCs w:val="22"/>
              </w:rPr>
              <w:t xml:space="preserve"> pārklājas</w:t>
            </w:r>
          </w:p>
        </w:tc>
      </w:tr>
      <w:tr w:rsidR="00DD563F" w:rsidRPr="009D07C7" w14:paraId="7CA9DA6E" w14:textId="77777777" w:rsidTr="00E569DC">
        <w:tc>
          <w:tcPr>
            <w:tcW w:w="276" w:type="pct"/>
            <w:tcBorders>
              <w:bottom w:val="single" w:sz="4" w:space="0" w:color="auto"/>
            </w:tcBorders>
          </w:tcPr>
          <w:p w14:paraId="6C61DCCF" w14:textId="77777777" w:rsidR="00DD563F" w:rsidRPr="009D07C7" w:rsidRDefault="00DD563F" w:rsidP="00E65D59">
            <w:pPr>
              <w:numPr>
                <w:ilvl w:val="0"/>
                <w:numId w:val="1"/>
              </w:numPr>
              <w:rPr>
                <w:sz w:val="22"/>
                <w:szCs w:val="22"/>
              </w:rPr>
            </w:pPr>
          </w:p>
        </w:tc>
        <w:tc>
          <w:tcPr>
            <w:tcW w:w="1726" w:type="pct"/>
            <w:tcBorders>
              <w:bottom w:val="single" w:sz="4" w:space="0" w:color="auto"/>
            </w:tcBorders>
          </w:tcPr>
          <w:p w14:paraId="0160F035" w14:textId="77777777" w:rsidR="00DD563F" w:rsidRPr="00654481" w:rsidRDefault="00DD563F" w:rsidP="00E65D59">
            <w:pPr>
              <w:rPr>
                <w:b/>
                <w:sz w:val="22"/>
                <w:szCs w:val="22"/>
              </w:rPr>
            </w:pPr>
            <w:r w:rsidRPr="00654481">
              <w:rPr>
                <w:b/>
                <w:sz w:val="22"/>
                <w:szCs w:val="22"/>
              </w:rPr>
              <w:t xml:space="preserve">Horizontālo </w:t>
            </w:r>
            <w:r w:rsidR="005D0915" w:rsidRPr="00654481">
              <w:rPr>
                <w:b/>
                <w:sz w:val="22"/>
                <w:szCs w:val="22"/>
              </w:rPr>
              <w:t>pr</w:t>
            </w:r>
            <w:r w:rsidR="005D0915">
              <w:rPr>
                <w:b/>
                <w:sz w:val="22"/>
                <w:szCs w:val="22"/>
              </w:rPr>
              <w:t>incipu</w:t>
            </w:r>
            <w:r w:rsidR="005D0915" w:rsidRPr="00654481">
              <w:rPr>
                <w:b/>
                <w:sz w:val="22"/>
                <w:szCs w:val="22"/>
              </w:rPr>
              <w:t xml:space="preserve"> </w:t>
            </w:r>
            <w:r w:rsidRPr="00654481">
              <w:rPr>
                <w:b/>
                <w:sz w:val="22"/>
                <w:szCs w:val="22"/>
              </w:rPr>
              <w:t xml:space="preserve">vai citu kvalitātes kritēriju </w:t>
            </w:r>
            <w:r w:rsidR="00104BEC" w:rsidRPr="00654481">
              <w:rPr>
                <w:b/>
                <w:sz w:val="22"/>
                <w:szCs w:val="22"/>
              </w:rPr>
              <w:t>ne</w:t>
            </w:r>
            <w:r w:rsidRPr="00654481">
              <w:rPr>
                <w:b/>
                <w:sz w:val="22"/>
                <w:szCs w:val="22"/>
              </w:rPr>
              <w:t>izpilde</w:t>
            </w:r>
            <w:r w:rsidR="00DA7F9C" w:rsidRPr="00654481">
              <w:rPr>
                <w:b/>
                <w:sz w:val="22"/>
                <w:szCs w:val="22"/>
              </w:rPr>
              <w:t>:</w:t>
            </w:r>
            <w:r w:rsidR="00023A1B">
              <w:t xml:space="preserve"> </w:t>
            </w:r>
          </w:p>
          <w:p w14:paraId="7EEBD03B" w14:textId="77777777" w:rsidR="00B9198B" w:rsidRPr="00B9198B" w:rsidRDefault="00B9198B" w:rsidP="00B9198B">
            <w:pPr>
              <w:pStyle w:val="Text3"/>
              <w:snapToGrid w:val="0"/>
              <w:ind w:left="35"/>
              <w:rPr>
                <w:sz w:val="22"/>
                <w:szCs w:val="22"/>
                <w:lang w:val="lv-LV"/>
              </w:rPr>
            </w:pPr>
            <w:r w:rsidRPr="00B9198B">
              <w:rPr>
                <w:sz w:val="22"/>
                <w:szCs w:val="22"/>
                <w:lang w:val="lv-LV"/>
              </w:rPr>
              <w:t>a) projektā ar tiešu pozitīvu ietekmi uz horizontālo principu “Vienlīdzīgas iespējas” ir plānotas specifiskas darbības horizontālā principa nodrošināšanai. Projektu iesniegumu vērtēšanas procesā tika piemērots specifiskais atbilstības kritērijs, kura neizpildes gadījumā projekta iesniegums būtu noraidāms. Ja horizontālā principa kritērijs ir bijis kā noteicošais, lai projekts varētu tikt apstiprināts, tad piemēro 100% korekciju visam projekta apjomam.</w:t>
            </w:r>
          </w:p>
          <w:p w14:paraId="37A0635E" w14:textId="77777777" w:rsidR="00B9198B" w:rsidRPr="00B9198B" w:rsidRDefault="00B9198B" w:rsidP="00B9198B">
            <w:pPr>
              <w:pStyle w:val="Text3"/>
              <w:snapToGrid w:val="0"/>
              <w:ind w:left="35"/>
              <w:rPr>
                <w:sz w:val="22"/>
                <w:szCs w:val="22"/>
                <w:lang w:val="lv-LV"/>
              </w:rPr>
            </w:pPr>
          </w:p>
          <w:p w14:paraId="1F10DCCD" w14:textId="3CAD52A7" w:rsidR="00B9198B" w:rsidRPr="00B9198B" w:rsidRDefault="00B9198B" w:rsidP="00B9198B">
            <w:pPr>
              <w:pStyle w:val="Text3"/>
              <w:snapToGrid w:val="0"/>
              <w:ind w:left="35"/>
              <w:rPr>
                <w:i/>
                <w:sz w:val="22"/>
                <w:szCs w:val="22"/>
                <w:lang w:val="lv-LV"/>
              </w:rPr>
            </w:pPr>
            <w:r w:rsidRPr="00B9198B">
              <w:rPr>
                <w:i/>
                <w:sz w:val="22"/>
                <w:szCs w:val="22"/>
                <w:lang w:val="lv-LV"/>
              </w:rPr>
              <w:t xml:space="preserve">Aprēķins: Projekta apjoms ir 10 000 EUR. Korekcija visam projekta apjomam:  100% </w:t>
            </w:r>
            <w:r w:rsidR="003F5406">
              <w:rPr>
                <w:i/>
                <w:sz w:val="22"/>
                <w:szCs w:val="22"/>
                <w:lang w:val="lv-LV"/>
              </w:rPr>
              <w:t>*</w:t>
            </w:r>
            <w:r w:rsidRPr="00B9198B">
              <w:rPr>
                <w:i/>
                <w:sz w:val="22"/>
                <w:szCs w:val="22"/>
                <w:lang w:val="lv-LV"/>
              </w:rPr>
              <w:t xml:space="preserve"> 10 000 EUR = 10 000 EUR</w:t>
            </w:r>
          </w:p>
          <w:p w14:paraId="64F35B2B" w14:textId="77777777" w:rsidR="00B9198B" w:rsidRPr="00B9198B" w:rsidRDefault="00B9198B" w:rsidP="00B9198B">
            <w:pPr>
              <w:pStyle w:val="Text3"/>
              <w:snapToGrid w:val="0"/>
              <w:ind w:left="35"/>
              <w:rPr>
                <w:sz w:val="22"/>
                <w:szCs w:val="22"/>
                <w:lang w:val="lv-LV"/>
              </w:rPr>
            </w:pPr>
          </w:p>
          <w:p w14:paraId="66FD7163" w14:textId="77777777" w:rsidR="00B9198B" w:rsidRPr="00B9198B" w:rsidRDefault="00B9198B" w:rsidP="00B9198B">
            <w:pPr>
              <w:pStyle w:val="Text3"/>
              <w:snapToGrid w:val="0"/>
              <w:ind w:left="35"/>
              <w:rPr>
                <w:sz w:val="22"/>
                <w:szCs w:val="22"/>
                <w:lang w:val="lv-LV"/>
              </w:rPr>
            </w:pPr>
            <w:r w:rsidRPr="00B9198B">
              <w:rPr>
                <w:sz w:val="22"/>
                <w:szCs w:val="22"/>
                <w:lang w:val="lv-LV"/>
              </w:rPr>
              <w:t xml:space="preserve">b) projektā ar netiešu pozitīvu ietekmi uz horizontālo principu “Vienlīdzīgas iespējas” 100% finanšu korekciju var piemērot noteiktam projekta apjomam </w:t>
            </w:r>
            <w:r w:rsidRPr="00B9198B">
              <w:rPr>
                <w:sz w:val="22"/>
                <w:szCs w:val="22"/>
                <w:lang w:val="lv-LV"/>
              </w:rPr>
              <w:lastRenderedPageBreak/>
              <w:t>gadījumos, ja kritērijā par projekta ietekmi uz horizontālo principu “Vienlīdzīgas iespējas” par specifiskām darbībām ir piešķirti papildu punkti un pārkāpums ir būtiski ietekmējis projekta rezultātu (skat.1.piemēru).</w:t>
            </w:r>
          </w:p>
          <w:p w14:paraId="23F3CAF8" w14:textId="77777777" w:rsidR="00B9198B" w:rsidRPr="00B9198B" w:rsidRDefault="00B9198B" w:rsidP="00B9198B">
            <w:pPr>
              <w:pStyle w:val="Text3"/>
              <w:snapToGrid w:val="0"/>
              <w:ind w:left="35"/>
              <w:rPr>
                <w:sz w:val="22"/>
                <w:szCs w:val="22"/>
                <w:lang w:val="lv-LV"/>
              </w:rPr>
            </w:pPr>
          </w:p>
          <w:p w14:paraId="5ABE4410" w14:textId="11C1735F" w:rsidR="00B9198B" w:rsidRPr="00B9198B" w:rsidRDefault="00B9198B" w:rsidP="00B9198B">
            <w:pPr>
              <w:pStyle w:val="Text3"/>
              <w:snapToGrid w:val="0"/>
              <w:ind w:left="35"/>
              <w:rPr>
                <w:i/>
                <w:sz w:val="22"/>
                <w:szCs w:val="22"/>
                <w:lang w:val="lv-LV"/>
              </w:rPr>
            </w:pPr>
            <w:r w:rsidRPr="00B9198B">
              <w:rPr>
                <w:i/>
                <w:sz w:val="22"/>
                <w:szCs w:val="22"/>
                <w:lang w:val="lv-LV"/>
              </w:rPr>
              <w:t xml:space="preserve">Aprēķins: Projekta apjoms ir 10 000 EUR, noteiktam projekta apjomam - konkrētai HP specifiskai darbībai - 5 000 EUR: 100% </w:t>
            </w:r>
            <w:r w:rsidR="003F5406">
              <w:rPr>
                <w:i/>
                <w:sz w:val="22"/>
                <w:szCs w:val="22"/>
                <w:lang w:val="lv-LV"/>
              </w:rPr>
              <w:t>*</w:t>
            </w:r>
            <w:r w:rsidRPr="00B9198B">
              <w:rPr>
                <w:i/>
                <w:sz w:val="22"/>
                <w:szCs w:val="22"/>
                <w:lang w:val="lv-LV"/>
              </w:rPr>
              <w:t xml:space="preserve"> 5 000 EUR=5000 EUR</w:t>
            </w:r>
          </w:p>
          <w:p w14:paraId="50460DF3" w14:textId="77777777" w:rsidR="00B9198B" w:rsidRPr="00B9198B" w:rsidRDefault="00B9198B" w:rsidP="00B9198B">
            <w:pPr>
              <w:pStyle w:val="Text3"/>
              <w:snapToGrid w:val="0"/>
              <w:ind w:left="35"/>
              <w:rPr>
                <w:sz w:val="22"/>
                <w:szCs w:val="22"/>
                <w:lang w:val="lv-LV"/>
              </w:rPr>
            </w:pPr>
            <w:r w:rsidRPr="00B9198B">
              <w:rPr>
                <w:sz w:val="22"/>
                <w:szCs w:val="22"/>
                <w:lang w:val="lv-LV"/>
              </w:rPr>
              <w:t>c) Projektā ar netiešu pozitīvu ietekmi uz horizontālo principu “Vienlīdzīgas iespējas” par darbībām horizontālā principa jomās ir piešķirti papildu punkti, bet projekta īstenošanas laikā tās nav sasniegtas/izpildītas un trūkumi vairs nevar tikt novērsti. Šādā gadījumā 25% finanšu korekciju būtu ieteicams piemērot projekta apjomam, kas ir noteikts no proporcionāli piešķirtā punktu skaita projekta vērtēšanā pret kopējo piešķirto punktu skaitu:</w:t>
            </w:r>
          </w:p>
          <w:p w14:paraId="2A9211F3" w14:textId="77777777" w:rsidR="00B9198B" w:rsidRPr="00B9198B" w:rsidRDefault="00B9198B" w:rsidP="00B9198B">
            <w:pPr>
              <w:pStyle w:val="Text3"/>
              <w:snapToGrid w:val="0"/>
              <w:ind w:left="35"/>
              <w:rPr>
                <w:i/>
                <w:sz w:val="22"/>
                <w:szCs w:val="22"/>
                <w:lang w:val="lv-LV"/>
              </w:rPr>
            </w:pPr>
            <w:r w:rsidRPr="00B9198B">
              <w:rPr>
                <w:i/>
                <w:sz w:val="22"/>
                <w:szCs w:val="22"/>
                <w:lang w:val="lv-LV"/>
              </w:rPr>
              <w:t>Aprēķins: Projekta apjoms ir 10 000 EUR. 10 punktus projekta iesniedzējs ir saņēmis papildus par plānotajām darbībām horizontālā principa jomā, 100 kopējais punktu skaits. Aprēķins: 10/100 = 10%; 10% * 10 000 = 1000; 25% * 1000 = 250 EUR.</w:t>
            </w:r>
          </w:p>
          <w:p w14:paraId="40C7559E" w14:textId="77777777" w:rsidR="00B9198B" w:rsidRPr="00B9198B" w:rsidRDefault="00B9198B" w:rsidP="00B9198B">
            <w:pPr>
              <w:pStyle w:val="Text3"/>
              <w:snapToGrid w:val="0"/>
              <w:ind w:left="35"/>
              <w:rPr>
                <w:sz w:val="22"/>
                <w:szCs w:val="22"/>
                <w:lang w:val="lv-LV"/>
              </w:rPr>
            </w:pPr>
          </w:p>
          <w:p w14:paraId="3A2C6D09" w14:textId="77777777" w:rsidR="00B9198B" w:rsidRPr="00B9198B" w:rsidRDefault="00B9198B" w:rsidP="00023A1B">
            <w:pPr>
              <w:pStyle w:val="Text3"/>
              <w:tabs>
                <w:tab w:val="clear" w:pos="2302"/>
                <w:tab w:val="left" w:pos="318"/>
              </w:tabs>
              <w:snapToGrid w:val="0"/>
              <w:ind w:left="35"/>
              <w:rPr>
                <w:sz w:val="22"/>
                <w:szCs w:val="22"/>
                <w:lang w:val="lv-LV"/>
              </w:rPr>
            </w:pPr>
            <w:r>
              <w:rPr>
                <w:sz w:val="22"/>
                <w:szCs w:val="22"/>
                <w:lang w:val="lv-LV"/>
              </w:rPr>
              <w:t>d</w:t>
            </w:r>
            <w:r w:rsidRPr="00B9198B">
              <w:rPr>
                <w:sz w:val="22"/>
                <w:szCs w:val="22"/>
                <w:lang w:val="lv-LV"/>
              </w:rPr>
              <w:t>)</w:t>
            </w:r>
            <w:r w:rsidRPr="00B9198B">
              <w:rPr>
                <w:sz w:val="22"/>
                <w:szCs w:val="22"/>
                <w:lang w:val="lv-LV"/>
              </w:rPr>
              <w:tab/>
              <w:t xml:space="preserve"> projektā ir plānotas darbības horizontālo principu jomās un projektu iesniegumu vērtēšanas procesā par darbībām horizontālo principu jomās ir piešķirti papildu punkti, bet projekta īstenošanas laikā tās ir sasniegtas/izpildītas daļēji. Šādā gadījumā 10% </w:t>
            </w:r>
            <w:r w:rsidRPr="00B9198B">
              <w:rPr>
                <w:sz w:val="22"/>
                <w:szCs w:val="22"/>
                <w:lang w:val="lv-LV"/>
              </w:rPr>
              <w:lastRenderedPageBreak/>
              <w:t xml:space="preserve">finanšu korekciju būtu ieteicams piemērot projekta apjomam, kas ir noteikts no proporcionāli piešķirtā punktu skaita projekta vērtēšanā pret kopējo piešķirto punktu skaitu: </w:t>
            </w:r>
          </w:p>
          <w:p w14:paraId="555FB58E" w14:textId="77777777" w:rsidR="00B9198B" w:rsidRPr="00B9198B" w:rsidRDefault="00B9198B" w:rsidP="00B9198B">
            <w:pPr>
              <w:pStyle w:val="Text3"/>
              <w:snapToGrid w:val="0"/>
              <w:ind w:left="35"/>
              <w:rPr>
                <w:sz w:val="22"/>
                <w:szCs w:val="22"/>
                <w:lang w:val="lv-LV"/>
              </w:rPr>
            </w:pPr>
          </w:p>
          <w:p w14:paraId="53C4E6C5" w14:textId="77777777" w:rsidR="00B9198B" w:rsidRPr="00B9198B" w:rsidRDefault="00B9198B" w:rsidP="00B9198B">
            <w:pPr>
              <w:pStyle w:val="Text3"/>
              <w:snapToGrid w:val="0"/>
              <w:ind w:left="35"/>
              <w:rPr>
                <w:i/>
                <w:sz w:val="22"/>
                <w:szCs w:val="22"/>
                <w:lang w:val="lv-LV"/>
              </w:rPr>
            </w:pPr>
            <w:r w:rsidRPr="00B9198B">
              <w:rPr>
                <w:i/>
                <w:sz w:val="22"/>
                <w:szCs w:val="22"/>
                <w:lang w:val="lv-LV"/>
              </w:rPr>
              <w:t>Projekta apjoms ir 10 000 EUR, 10 punktus projekta iesniedzējs ir saņēmis papildus par plānotajām darbībām horizontālā  principa jomā, 100 kopējais punktu skaits. Aprēķins: 10/100 = 10%; 10% * 10 000 = 1000; 10% * 1000 = 100 EUR.</w:t>
            </w:r>
          </w:p>
          <w:p w14:paraId="43D5F9C5" w14:textId="77777777" w:rsidR="00B9198B" w:rsidRPr="00B9198B" w:rsidRDefault="00B9198B" w:rsidP="00B9198B">
            <w:pPr>
              <w:pStyle w:val="Text3"/>
              <w:snapToGrid w:val="0"/>
              <w:ind w:left="35"/>
              <w:rPr>
                <w:sz w:val="22"/>
                <w:szCs w:val="22"/>
                <w:lang w:val="lv-LV"/>
              </w:rPr>
            </w:pPr>
          </w:p>
          <w:p w14:paraId="02DBCB1E" w14:textId="77777777" w:rsidR="00B9198B" w:rsidRPr="00B9198B" w:rsidRDefault="00B9198B" w:rsidP="00B9198B">
            <w:pPr>
              <w:pStyle w:val="Text3"/>
              <w:snapToGrid w:val="0"/>
              <w:ind w:left="35"/>
              <w:rPr>
                <w:sz w:val="22"/>
                <w:szCs w:val="22"/>
                <w:lang w:val="lv-LV"/>
              </w:rPr>
            </w:pPr>
            <w:r w:rsidRPr="00B9198B">
              <w:rPr>
                <w:sz w:val="22"/>
                <w:szCs w:val="22"/>
                <w:lang w:val="lv-LV"/>
              </w:rPr>
              <w:t xml:space="preserve">e) gadījumos, kad var pamatot, ka pārkāpums nav būtisks, var piemērot mazāku finanšu korekcijas likmi. </w:t>
            </w:r>
          </w:p>
          <w:p w14:paraId="450BFB7D" w14:textId="77777777" w:rsidR="003C2EA1" w:rsidRPr="00654481" w:rsidRDefault="00B9198B" w:rsidP="00E65D59">
            <w:pPr>
              <w:pStyle w:val="Text3"/>
              <w:snapToGrid w:val="0"/>
              <w:spacing w:after="0"/>
              <w:ind w:left="0"/>
              <w:rPr>
                <w:sz w:val="22"/>
                <w:szCs w:val="22"/>
                <w:lang w:val="lv-LV"/>
              </w:rPr>
            </w:pPr>
            <w:r w:rsidRPr="00B9198B">
              <w:rPr>
                <w:sz w:val="22"/>
                <w:szCs w:val="22"/>
                <w:lang w:val="lv-LV"/>
              </w:rPr>
              <w:t>b), c), d) principus var piemērot visos gadījumos, kad nav izpildīti kvalitātes kritēriji, par kuriem projektu iesniegumu vērtēšanas procesā ir piešķirti papildu punkti.</w:t>
            </w:r>
          </w:p>
        </w:tc>
        <w:tc>
          <w:tcPr>
            <w:tcW w:w="2061" w:type="pct"/>
            <w:tcBorders>
              <w:bottom w:val="single" w:sz="4" w:space="0" w:color="auto"/>
            </w:tcBorders>
          </w:tcPr>
          <w:p w14:paraId="77BBD016" w14:textId="77777777" w:rsidR="00B9198B" w:rsidRPr="00B9198B" w:rsidRDefault="00B9198B" w:rsidP="00B9198B">
            <w:pPr>
              <w:jc w:val="both"/>
              <w:rPr>
                <w:sz w:val="22"/>
                <w:szCs w:val="22"/>
              </w:rPr>
            </w:pPr>
            <w:r w:rsidRPr="00B9198B">
              <w:rPr>
                <w:sz w:val="22"/>
                <w:szCs w:val="22"/>
              </w:rPr>
              <w:lastRenderedPageBreak/>
              <w:t>1.</w:t>
            </w:r>
            <w:r w:rsidRPr="00B9198B">
              <w:rPr>
                <w:sz w:val="22"/>
                <w:szCs w:val="22"/>
              </w:rPr>
              <w:tab/>
              <w:t>Piemērs (100% korekcija)</w:t>
            </w:r>
          </w:p>
          <w:p w14:paraId="7B2ADF7D" w14:textId="77777777" w:rsidR="00B9198B" w:rsidRPr="00B9198B" w:rsidRDefault="00B9198B" w:rsidP="00B9198B">
            <w:pPr>
              <w:jc w:val="both"/>
              <w:rPr>
                <w:sz w:val="22"/>
                <w:szCs w:val="22"/>
              </w:rPr>
            </w:pPr>
          </w:p>
          <w:p w14:paraId="36CCB639" w14:textId="77777777" w:rsidR="00B9198B" w:rsidRPr="00B9198B" w:rsidRDefault="00B9198B" w:rsidP="00B9198B">
            <w:pPr>
              <w:jc w:val="both"/>
              <w:rPr>
                <w:sz w:val="22"/>
                <w:szCs w:val="22"/>
              </w:rPr>
            </w:pPr>
            <w:r w:rsidRPr="00B9198B">
              <w:rPr>
                <w:sz w:val="22"/>
                <w:szCs w:val="22"/>
              </w:rPr>
              <w:t xml:space="preserve">Infrastruktūras attīstības projektā paredzēts būvēt jaunu dienas aprūpes centru bērniem. Projekta ietvaros objektā paredzēts izbūvēt liftu ar speciālu aprīkojumu, lai nodrošinātu vides pieejamību cilvēkiem ar invaliditāti. Kontroles X laikā tiek konstatēts, ka nav izbūvēts lifts un nav citu risinājumu, kas būtu piemēroti personām ar invaliditāti patstāvīgai lietošanai, piemēram, nav iespējas nokļūt ēkas otrajā stāvā, kur atrodas aktu zāle, kā arī vairs nav iespējams novērst neatbilstību, proti, izbūvēt liftu vai nodrošināt citu atbilstošu risinājumu. </w:t>
            </w:r>
          </w:p>
          <w:p w14:paraId="66776D44" w14:textId="77777777" w:rsidR="00B9198B" w:rsidRPr="00B9198B" w:rsidRDefault="00B9198B" w:rsidP="00B9198B">
            <w:pPr>
              <w:jc w:val="both"/>
              <w:rPr>
                <w:sz w:val="22"/>
                <w:szCs w:val="22"/>
              </w:rPr>
            </w:pPr>
          </w:p>
          <w:p w14:paraId="0EA7AB43" w14:textId="77777777" w:rsidR="00B9198B" w:rsidRPr="00B9198B" w:rsidRDefault="00B9198B" w:rsidP="00B9198B">
            <w:pPr>
              <w:jc w:val="both"/>
              <w:rPr>
                <w:sz w:val="22"/>
                <w:szCs w:val="22"/>
              </w:rPr>
            </w:pPr>
          </w:p>
          <w:p w14:paraId="5161EFD9" w14:textId="77777777" w:rsidR="00B9198B" w:rsidRPr="00B9198B" w:rsidRDefault="00B9198B" w:rsidP="00B9198B">
            <w:pPr>
              <w:jc w:val="both"/>
              <w:rPr>
                <w:sz w:val="22"/>
                <w:szCs w:val="22"/>
              </w:rPr>
            </w:pPr>
            <w:r w:rsidRPr="00B9198B">
              <w:rPr>
                <w:sz w:val="22"/>
                <w:szCs w:val="22"/>
              </w:rPr>
              <w:t>Minētajā piemērā ir piemērojama 100% korekcija (ar tiešu ietekmi uz HP VI – visam projekta apjomam, ar netiešu ietekmi – noteiktam projekta apjomam), jo projektā nav ievērotas Latvijas Republikas būvnormatīvu prasības, un nav īstenotas plānotās darbības vienlīdzīgu iespēju horizontālās prioritātes jomā, kas ietekmē arī ES fondu pareizu izlietojumu.</w:t>
            </w:r>
          </w:p>
          <w:p w14:paraId="353B2EC0" w14:textId="77777777" w:rsidR="00B9198B" w:rsidRPr="00B9198B" w:rsidRDefault="00B9198B" w:rsidP="00B9198B">
            <w:pPr>
              <w:jc w:val="both"/>
              <w:rPr>
                <w:sz w:val="22"/>
                <w:szCs w:val="22"/>
              </w:rPr>
            </w:pPr>
            <w:r w:rsidRPr="00B9198B">
              <w:rPr>
                <w:sz w:val="22"/>
                <w:szCs w:val="22"/>
              </w:rPr>
              <w:t xml:space="preserve">(Nav ievērots Latvijas būvnormatīva LBN 208-15 „Publiskas būves” 59.punkts, kas paredz, ka publiskās būvēs, kas ir augstākas par vienu stāvu, visu stāvu apkalpošanai paredz vismaz vienu </w:t>
            </w:r>
            <w:r w:rsidRPr="00B9198B">
              <w:rPr>
                <w:sz w:val="22"/>
                <w:szCs w:val="22"/>
              </w:rPr>
              <w:lastRenderedPageBreak/>
              <w:t>pasažieru liftu vai izmanto citu risinājumu, kas būtu piemērots personām ar invaliditāti patstāvīgai lietošanai). Šāda veida pārkāpums vienlaikus ir risināms atbilstoši Būvniecības likumā noteiktajam attiecībā uz būvniecības kontroli, ziņojot attiecīgās pašvaldības būvvaldei par to, ka netiek ievērotas būvniecību regulējošo normatīvo aktu prasības.</w:t>
            </w:r>
          </w:p>
          <w:p w14:paraId="3A7D4A33" w14:textId="77777777" w:rsidR="00B9198B" w:rsidRPr="00B9198B" w:rsidRDefault="00B9198B" w:rsidP="00B9198B">
            <w:pPr>
              <w:jc w:val="both"/>
              <w:rPr>
                <w:sz w:val="22"/>
                <w:szCs w:val="22"/>
              </w:rPr>
            </w:pPr>
          </w:p>
          <w:p w14:paraId="7394672F" w14:textId="77777777" w:rsidR="00B9198B" w:rsidRPr="00B9198B" w:rsidRDefault="00B9198B" w:rsidP="00B9198B">
            <w:pPr>
              <w:jc w:val="both"/>
              <w:rPr>
                <w:sz w:val="22"/>
                <w:szCs w:val="22"/>
              </w:rPr>
            </w:pPr>
          </w:p>
          <w:p w14:paraId="1F475C0E" w14:textId="77777777" w:rsidR="00B9198B" w:rsidRPr="00B9198B" w:rsidRDefault="00B9198B" w:rsidP="00B9198B">
            <w:pPr>
              <w:jc w:val="both"/>
              <w:rPr>
                <w:sz w:val="22"/>
                <w:szCs w:val="22"/>
              </w:rPr>
            </w:pPr>
            <w:r w:rsidRPr="00B9198B">
              <w:rPr>
                <w:sz w:val="22"/>
                <w:szCs w:val="22"/>
              </w:rPr>
              <w:t>2.</w:t>
            </w:r>
            <w:r w:rsidRPr="00B9198B">
              <w:rPr>
                <w:sz w:val="22"/>
                <w:szCs w:val="22"/>
              </w:rPr>
              <w:tab/>
              <w:t>Piemērs (25% korekcija)</w:t>
            </w:r>
          </w:p>
          <w:p w14:paraId="0FA340CF" w14:textId="77777777" w:rsidR="00B9198B" w:rsidRPr="00B9198B" w:rsidRDefault="00B9198B" w:rsidP="00B9198B">
            <w:pPr>
              <w:jc w:val="both"/>
              <w:rPr>
                <w:sz w:val="22"/>
                <w:szCs w:val="22"/>
              </w:rPr>
            </w:pPr>
          </w:p>
          <w:p w14:paraId="04F9EFC3" w14:textId="77777777" w:rsidR="00B9198B" w:rsidRPr="00B9198B" w:rsidRDefault="00B9198B" w:rsidP="00B9198B">
            <w:pPr>
              <w:jc w:val="both"/>
              <w:rPr>
                <w:sz w:val="22"/>
                <w:szCs w:val="22"/>
              </w:rPr>
            </w:pPr>
            <w:r w:rsidRPr="00B9198B">
              <w:rPr>
                <w:sz w:val="22"/>
                <w:szCs w:val="22"/>
              </w:rPr>
              <w:t xml:space="preserve">Infrastruktūras attīstības projektā paredzēts būvēt jaunu pirmsskolas izglītības iestādi. Projekta iesniedzējs ir saņēmis papildu punktus par to, ka, papildu Latvijas būvnormatīvā LBN 208-15 „Publiskas būves” noteiktajam, ir paredzējis izbūvēt divas tualetes telpas (1. un 2.stāvā), kas ir pieejamas riteņkrēslu lietotājiem, nevis tikai vienā stāvā, kā to prasa minētais būvnormatīvs. Kontroles X laikā tiek konstatēts, ka tualetes telpa, kas ir pieejama riteņkrēslu lietotājiem, ir izbūvēta tikai 1. stāvā.  </w:t>
            </w:r>
          </w:p>
          <w:p w14:paraId="036FC5EA" w14:textId="77777777" w:rsidR="00B9198B" w:rsidRPr="00B9198B" w:rsidRDefault="00B9198B" w:rsidP="00B9198B">
            <w:pPr>
              <w:jc w:val="both"/>
              <w:rPr>
                <w:sz w:val="22"/>
                <w:szCs w:val="22"/>
              </w:rPr>
            </w:pPr>
            <w:r w:rsidRPr="00B9198B">
              <w:rPr>
                <w:sz w:val="22"/>
                <w:szCs w:val="22"/>
              </w:rPr>
              <w:t>Šajā gadījumā var piemērot 25% finanšu korekciju, jo projektā nav īstenotas plānotās darbības vienlīdzīgu iespēju horizontālās prioritātes jomā, kas ietekmē arī ES fondu pareizu izlietojumu.</w:t>
            </w:r>
          </w:p>
          <w:p w14:paraId="72084CB7" w14:textId="77777777" w:rsidR="00B9198B" w:rsidRPr="00B9198B" w:rsidRDefault="00B9198B" w:rsidP="00B9198B">
            <w:pPr>
              <w:jc w:val="both"/>
              <w:rPr>
                <w:sz w:val="22"/>
                <w:szCs w:val="22"/>
              </w:rPr>
            </w:pPr>
          </w:p>
          <w:p w14:paraId="4373F6DA" w14:textId="77777777" w:rsidR="00B9198B" w:rsidRPr="00B9198B" w:rsidRDefault="00B9198B" w:rsidP="00B9198B">
            <w:pPr>
              <w:jc w:val="both"/>
              <w:rPr>
                <w:sz w:val="22"/>
                <w:szCs w:val="22"/>
              </w:rPr>
            </w:pPr>
            <w:r w:rsidRPr="00B9198B">
              <w:rPr>
                <w:sz w:val="22"/>
                <w:szCs w:val="22"/>
              </w:rPr>
              <w:t>3.</w:t>
            </w:r>
            <w:r w:rsidRPr="00B9198B">
              <w:rPr>
                <w:sz w:val="22"/>
                <w:szCs w:val="22"/>
              </w:rPr>
              <w:tab/>
              <w:t xml:space="preserve">Piemērs (25% korekcija) </w:t>
            </w:r>
          </w:p>
          <w:p w14:paraId="52D1D21A" w14:textId="77777777" w:rsidR="00B9198B" w:rsidRPr="00B9198B" w:rsidRDefault="00B9198B" w:rsidP="00B9198B">
            <w:pPr>
              <w:jc w:val="both"/>
              <w:rPr>
                <w:sz w:val="22"/>
                <w:szCs w:val="22"/>
              </w:rPr>
            </w:pPr>
          </w:p>
          <w:p w14:paraId="5675FF2B" w14:textId="77777777" w:rsidR="00B9198B" w:rsidRPr="00B9198B" w:rsidRDefault="00B9198B" w:rsidP="00B9198B">
            <w:pPr>
              <w:jc w:val="both"/>
              <w:rPr>
                <w:sz w:val="22"/>
                <w:szCs w:val="22"/>
              </w:rPr>
            </w:pPr>
            <w:r w:rsidRPr="00B9198B">
              <w:rPr>
                <w:sz w:val="22"/>
                <w:szCs w:val="22"/>
              </w:rPr>
              <w:t xml:space="preserve">Nodarbināto apmācībās projekta ietvaros tika paredzētas specifiskas darbības, kas sekmē dzimumu līdztiesību, personu ar invaliditāti tiesību ievērošanu un iekļaušanu, veicina nediskrimināciju vecuma un etniskās piederības dēļ. Projekta iesniedzējs ir saņēmis papildu punktus par to, ka apmācības tiks organizētas vides pieejamības prasībām atbilstošās telpās (uzbrauktuve, lifts, tualete atbilstoša cilvēku ar invaliditāti vajadzībām), tiks nodrošināts elastīgs apmācību laiks un mācību materiāli tiks nodrošināti dažādos formātos (audio, video, palielinātā drukā u.c.), ar īpašiem informācijas līdzekļiem tiks </w:t>
            </w:r>
            <w:r w:rsidRPr="00B9198B">
              <w:rPr>
                <w:sz w:val="22"/>
                <w:szCs w:val="22"/>
              </w:rPr>
              <w:lastRenderedPageBreak/>
              <w:t xml:space="preserve">piesaistītas dažādas mērķa grupas, t.sk. pirmspensijas vecuma sievietes un vīrieši, cilvēki ar invaliditāti, tiks sniegts etnisko minoritāšu pārstāvjiem, īpaši romiem. Kontroles X laikā tiek konstatēts, ka projektā specifiskas </w:t>
            </w:r>
            <w:r w:rsidR="005D0915">
              <w:rPr>
                <w:sz w:val="22"/>
                <w:szCs w:val="22"/>
              </w:rPr>
              <w:t>darbības</w:t>
            </w:r>
            <w:r w:rsidR="005D0915" w:rsidRPr="00B9198B">
              <w:rPr>
                <w:sz w:val="22"/>
                <w:szCs w:val="22"/>
              </w:rPr>
              <w:t xml:space="preserve"> </w:t>
            </w:r>
            <w:r w:rsidRPr="00B9198B">
              <w:rPr>
                <w:sz w:val="22"/>
                <w:szCs w:val="22"/>
              </w:rPr>
              <w:t xml:space="preserve">netiek īstenotas, līdz ar to tiek diskriminētas personu tiesības piedalīties projekta </w:t>
            </w:r>
            <w:r w:rsidR="005D0915">
              <w:rPr>
                <w:sz w:val="22"/>
                <w:szCs w:val="22"/>
              </w:rPr>
              <w:t>darbībās</w:t>
            </w:r>
            <w:r w:rsidR="005D0915" w:rsidRPr="00B9198B">
              <w:rPr>
                <w:sz w:val="22"/>
                <w:szCs w:val="22"/>
              </w:rPr>
              <w:t xml:space="preserve"> </w:t>
            </w:r>
            <w:r w:rsidRPr="00B9198B">
              <w:rPr>
                <w:sz w:val="22"/>
                <w:szCs w:val="22"/>
              </w:rPr>
              <w:t>dzimuma, vecuma, invaliditātes vai etniskās piederības dēļ.  Šajā gadījumā horizontālais princips “Vienlīdzīgas iespējas” netiek ieviests un projektam var piemērot 25% finanšu korekciju.</w:t>
            </w:r>
          </w:p>
          <w:p w14:paraId="07CAF8A7" w14:textId="77777777" w:rsidR="00B9198B" w:rsidRPr="00B9198B" w:rsidRDefault="00B9198B" w:rsidP="00B9198B">
            <w:pPr>
              <w:jc w:val="both"/>
              <w:rPr>
                <w:sz w:val="22"/>
                <w:szCs w:val="22"/>
              </w:rPr>
            </w:pPr>
          </w:p>
          <w:p w14:paraId="10B1E4F4" w14:textId="77777777" w:rsidR="00B9198B" w:rsidRPr="00B9198B" w:rsidRDefault="00B9198B" w:rsidP="00B9198B">
            <w:pPr>
              <w:jc w:val="both"/>
              <w:rPr>
                <w:sz w:val="22"/>
                <w:szCs w:val="22"/>
              </w:rPr>
            </w:pPr>
          </w:p>
          <w:p w14:paraId="13A926A8" w14:textId="0F29FEA0" w:rsidR="00B9198B" w:rsidRPr="00B9198B" w:rsidRDefault="00B9198B" w:rsidP="00B9198B">
            <w:pPr>
              <w:jc w:val="both"/>
              <w:rPr>
                <w:sz w:val="22"/>
                <w:szCs w:val="22"/>
              </w:rPr>
            </w:pPr>
            <w:r w:rsidRPr="00B9198B">
              <w:rPr>
                <w:sz w:val="22"/>
                <w:szCs w:val="22"/>
              </w:rPr>
              <w:t>4.</w:t>
            </w:r>
            <w:r w:rsidRPr="00B9198B">
              <w:rPr>
                <w:sz w:val="22"/>
                <w:szCs w:val="22"/>
              </w:rPr>
              <w:tab/>
            </w:r>
            <w:r w:rsidR="00545EFC">
              <w:rPr>
                <w:sz w:val="22"/>
                <w:szCs w:val="22"/>
              </w:rPr>
              <w:t>P</w:t>
            </w:r>
            <w:r w:rsidRPr="00B9198B">
              <w:rPr>
                <w:sz w:val="22"/>
                <w:szCs w:val="22"/>
              </w:rPr>
              <w:t>iemērs (10% korekcijai)</w:t>
            </w:r>
          </w:p>
          <w:p w14:paraId="5B3CAF7B" w14:textId="77777777" w:rsidR="00B9198B" w:rsidRPr="00B9198B" w:rsidRDefault="00B9198B" w:rsidP="00B9198B">
            <w:pPr>
              <w:jc w:val="both"/>
              <w:rPr>
                <w:sz w:val="22"/>
                <w:szCs w:val="22"/>
              </w:rPr>
            </w:pPr>
          </w:p>
          <w:p w14:paraId="4224E138" w14:textId="77777777" w:rsidR="00B9198B" w:rsidRPr="00B9198B" w:rsidRDefault="00B9198B" w:rsidP="00B9198B">
            <w:pPr>
              <w:jc w:val="both"/>
              <w:rPr>
                <w:sz w:val="22"/>
                <w:szCs w:val="22"/>
              </w:rPr>
            </w:pPr>
            <w:r w:rsidRPr="00B9198B">
              <w:rPr>
                <w:sz w:val="22"/>
                <w:szCs w:val="22"/>
              </w:rPr>
              <w:t>Infrastruktūras attīstības projektā paredzēts izbūvēt sabiedriskā transporta pieturvietu. Projekta iesniedzējs ir saņēmis papildu punktus par to, ka projektā, papildu būvnormatīvos noteiktajam, objektā paredzēts izbūvēt slīpu soliņu ar augstumu 80 cm, kas ir paredzēts cilvēkiem ar ierobežotām kustībām. Pārbaudē X konstatēts, ka sabiedriskā transporta pieturvietā nav izbūvēts slīpais soliņš. Šajā gadījumā var piemērot 10% finanšu korekciju, jo projekta ietvaros ir izbūvēta sabiedriskā transporta pieturvieta, kas atbilst būvniecību regulējošo normatīvo aktu prasībām un ir pieejama personām ar invaliditāti, taču horizontālais princips “Vienlīdzīgas iespējas” ir ieviests daļēji.</w:t>
            </w:r>
          </w:p>
          <w:p w14:paraId="1BE0EB86" w14:textId="77777777" w:rsidR="00B9198B" w:rsidRPr="00B9198B" w:rsidRDefault="00B9198B" w:rsidP="00B9198B">
            <w:pPr>
              <w:jc w:val="both"/>
              <w:rPr>
                <w:sz w:val="22"/>
                <w:szCs w:val="22"/>
              </w:rPr>
            </w:pPr>
          </w:p>
          <w:p w14:paraId="1EB846C7" w14:textId="77777777" w:rsidR="00B9198B" w:rsidRPr="00B9198B" w:rsidRDefault="00B9198B" w:rsidP="00B9198B">
            <w:pPr>
              <w:jc w:val="both"/>
              <w:rPr>
                <w:sz w:val="22"/>
                <w:szCs w:val="22"/>
              </w:rPr>
            </w:pPr>
          </w:p>
          <w:p w14:paraId="1E8004A1" w14:textId="77777777" w:rsidR="00B9198B" w:rsidRPr="00B9198B" w:rsidRDefault="00B9198B" w:rsidP="00B9198B">
            <w:pPr>
              <w:jc w:val="both"/>
              <w:rPr>
                <w:sz w:val="22"/>
                <w:szCs w:val="22"/>
              </w:rPr>
            </w:pPr>
            <w:r w:rsidRPr="00B9198B">
              <w:rPr>
                <w:sz w:val="22"/>
                <w:szCs w:val="22"/>
              </w:rPr>
              <w:t>5.</w:t>
            </w:r>
            <w:r w:rsidRPr="00B9198B">
              <w:rPr>
                <w:sz w:val="22"/>
                <w:szCs w:val="22"/>
              </w:rPr>
              <w:tab/>
              <w:t xml:space="preserve">Piemērs (5% korekcija) </w:t>
            </w:r>
          </w:p>
          <w:p w14:paraId="303E6124" w14:textId="77777777" w:rsidR="00B9198B" w:rsidRPr="00B9198B" w:rsidRDefault="00B9198B" w:rsidP="00B9198B">
            <w:pPr>
              <w:jc w:val="both"/>
              <w:rPr>
                <w:sz w:val="22"/>
                <w:szCs w:val="22"/>
              </w:rPr>
            </w:pPr>
          </w:p>
          <w:p w14:paraId="642174F2" w14:textId="77777777" w:rsidR="00B9198B" w:rsidRPr="00B9198B" w:rsidRDefault="00B9198B" w:rsidP="00B9198B">
            <w:pPr>
              <w:jc w:val="both"/>
              <w:rPr>
                <w:sz w:val="22"/>
                <w:szCs w:val="22"/>
              </w:rPr>
            </w:pPr>
            <w:r w:rsidRPr="00B9198B">
              <w:rPr>
                <w:sz w:val="22"/>
                <w:szCs w:val="22"/>
              </w:rPr>
              <w:t xml:space="preserve">Uzņēmējdarbības vai pašnodarbinātības veicināšanas projektā paredzēts organizēt apmācības mērķa grupai. Projekta iesniedzējs ir saņēmis papildu punktus par to, ka projektā paredzēts iesaistīt vairāk nekā 50 nelabvēlīgākā situācijā esošus darba ņēmējus vai strādājošas personas ar invaliditāti. Kontroles X laikā tiek konstatēts, ka projekta </w:t>
            </w:r>
            <w:r w:rsidR="00950C8C">
              <w:rPr>
                <w:sz w:val="22"/>
                <w:szCs w:val="22"/>
              </w:rPr>
              <w:t>darbībās</w:t>
            </w:r>
            <w:r w:rsidR="00950C8C" w:rsidRPr="00B9198B">
              <w:rPr>
                <w:sz w:val="22"/>
                <w:szCs w:val="22"/>
              </w:rPr>
              <w:t xml:space="preserve"> </w:t>
            </w:r>
            <w:r w:rsidRPr="00B9198B">
              <w:rPr>
                <w:sz w:val="22"/>
                <w:szCs w:val="22"/>
              </w:rPr>
              <w:t xml:space="preserve">ir iesaistītas 35 nelabvēlīgākā situācijā esoši darba ņēmēji vai strādājošas personas ar invaliditāti. </w:t>
            </w:r>
            <w:r w:rsidRPr="00B9198B">
              <w:rPr>
                <w:sz w:val="22"/>
                <w:szCs w:val="22"/>
              </w:rPr>
              <w:lastRenderedPageBreak/>
              <w:t>Šajā gadījumā horizontālais princips “Vienlīdzīgas iespējas” ir ieviesta daļēji un projektam var piemērot 5% finanšu korekciju.</w:t>
            </w:r>
          </w:p>
          <w:p w14:paraId="72906411" w14:textId="77777777" w:rsidR="00B9198B" w:rsidRPr="00B9198B" w:rsidRDefault="00B9198B" w:rsidP="00B9198B">
            <w:pPr>
              <w:jc w:val="both"/>
              <w:rPr>
                <w:sz w:val="22"/>
                <w:szCs w:val="22"/>
              </w:rPr>
            </w:pPr>
          </w:p>
          <w:p w14:paraId="285BDF8E" w14:textId="77777777" w:rsidR="00B9198B" w:rsidRPr="00B9198B" w:rsidRDefault="00B9198B" w:rsidP="00B9198B">
            <w:pPr>
              <w:jc w:val="both"/>
              <w:rPr>
                <w:sz w:val="22"/>
                <w:szCs w:val="22"/>
              </w:rPr>
            </w:pPr>
            <w:r w:rsidRPr="00B9198B">
              <w:rPr>
                <w:sz w:val="22"/>
                <w:szCs w:val="22"/>
              </w:rPr>
              <w:t>6.</w:t>
            </w:r>
            <w:r w:rsidRPr="00B9198B">
              <w:rPr>
                <w:sz w:val="22"/>
                <w:szCs w:val="22"/>
              </w:rPr>
              <w:tab/>
              <w:t>Piemērs (5% korekcija)</w:t>
            </w:r>
          </w:p>
          <w:p w14:paraId="679C1C55" w14:textId="77777777" w:rsidR="00B9198B" w:rsidRPr="00B9198B" w:rsidRDefault="00B9198B" w:rsidP="00B9198B">
            <w:pPr>
              <w:jc w:val="both"/>
              <w:rPr>
                <w:sz w:val="22"/>
                <w:szCs w:val="22"/>
              </w:rPr>
            </w:pPr>
          </w:p>
          <w:p w14:paraId="6AF7C93C" w14:textId="77777777" w:rsidR="00B9198B" w:rsidRPr="00B9198B" w:rsidRDefault="00B9198B" w:rsidP="00B9198B">
            <w:pPr>
              <w:jc w:val="both"/>
              <w:rPr>
                <w:sz w:val="22"/>
                <w:szCs w:val="22"/>
              </w:rPr>
            </w:pPr>
            <w:r w:rsidRPr="00B9198B">
              <w:rPr>
                <w:sz w:val="22"/>
                <w:szCs w:val="22"/>
              </w:rPr>
              <w:t xml:space="preserve">NVA nereģistrēto NEET jauniešu iesaistes izglītībā projektā </w:t>
            </w:r>
          </w:p>
          <w:p w14:paraId="3EEFF344" w14:textId="77777777" w:rsidR="00DA7F9C" w:rsidRPr="009D07C7" w:rsidRDefault="00B9198B" w:rsidP="00536D59">
            <w:pPr>
              <w:jc w:val="both"/>
              <w:rPr>
                <w:sz w:val="22"/>
                <w:szCs w:val="22"/>
              </w:rPr>
            </w:pPr>
            <w:r w:rsidRPr="00B9198B">
              <w:rPr>
                <w:sz w:val="22"/>
                <w:szCs w:val="22"/>
              </w:rPr>
              <w:t>ir paredzēts rīkot mērķa grupu jauniešu atbalsta un aktivizēšanas pasākumus. Projekta iesniedzējs ir saņēmis papildu punktus par to, ka projektā nodrošinās vienlīdzīgas iespējas personām ar funkcionāliem traucējumiem, t.i. apmācību semināri tiks rīkoti cilvēkiem ar invaliditāti pieejamās telpās. Kontroles X laikā tiek konstatēts, ka apmācību seminārs notiek daudzstāvu ēkas 4.stāvā un ēkā nav ierīkots lifts. Šajā gadījumā horizontālais princips “Vienlīdzīgas iespējas” netiek ieviests un projektam var piemērot 5% finanšu korekciju. Finanšu korekciju nepiemēro gadījumos, ja projekta īstenotājs var pamatot, ka ir apzinājis mērķa grupu un tās vajadzības, ir noskaidrojis, ka dalībnieku vidū nav personu ar funkcionāliem traucējumiem, kuriem būtu nepieciešams nodrošināt semināra telpu pieejamību.</w:t>
            </w:r>
          </w:p>
        </w:tc>
        <w:tc>
          <w:tcPr>
            <w:tcW w:w="937" w:type="pct"/>
            <w:gridSpan w:val="2"/>
            <w:tcBorders>
              <w:bottom w:val="single" w:sz="4" w:space="0" w:color="auto"/>
            </w:tcBorders>
          </w:tcPr>
          <w:p w14:paraId="165443E8" w14:textId="77777777" w:rsidR="00DA7F9C" w:rsidRPr="009D07C7" w:rsidRDefault="00DA7F9C" w:rsidP="00E65D59">
            <w:pPr>
              <w:jc w:val="center"/>
              <w:rPr>
                <w:sz w:val="22"/>
                <w:szCs w:val="22"/>
              </w:rPr>
            </w:pPr>
          </w:p>
          <w:p w14:paraId="39BDEAB5" w14:textId="77777777" w:rsidR="00DD563F" w:rsidRPr="009D07C7" w:rsidRDefault="00DA7F9C" w:rsidP="003C2BFB">
            <w:pPr>
              <w:numPr>
                <w:ilvl w:val="0"/>
                <w:numId w:val="7"/>
              </w:numPr>
              <w:jc w:val="center"/>
              <w:rPr>
                <w:sz w:val="22"/>
                <w:szCs w:val="22"/>
              </w:rPr>
            </w:pPr>
            <w:r w:rsidRPr="009D07C7">
              <w:rPr>
                <w:sz w:val="22"/>
                <w:szCs w:val="22"/>
              </w:rPr>
              <w:t>25%</w:t>
            </w:r>
            <w:r w:rsidR="00B00895" w:rsidRPr="009D07C7">
              <w:rPr>
                <w:sz w:val="22"/>
                <w:szCs w:val="22"/>
              </w:rPr>
              <w:t>,</w:t>
            </w:r>
            <w:r w:rsidR="00536D59">
              <w:rPr>
                <w:sz w:val="22"/>
                <w:szCs w:val="22"/>
              </w:rPr>
              <w:t xml:space="preserve"> </w:t>
            </w:r>
            <w:r w:rsidR="000055C0" w:rsidRPr="009D07C7">
              <w:rPr>
                <w:sz w:val="22"/>
                <w:szCs w:val="22"/>
              </w:rPr>
              <w:t>100%</w:t>
            </w:r>
          </w:p>
          <w:p w14:paraId="45E1E9E9" w14:textId="77777777" w:rsidR="00B07DC4" w:rsidRPr="009D07C7" w:rsidRDefault="00A30975" w:rsidP="00E65D59">
            <w:pPr>
              <w:ind w:left="360"/>
              <w:rPr>
                <w:sz w:val="22"/>
                <w:szCs w:val="22"/>
              </w:rPr>
            </w:pPr>
            <w:r w:rsidRPr="009D07C7">
              <w:rPr>
                <w:sz w:val="22"/>
                <w:szCs w:val="22"/>
              </w:rPr>
              <w:t>atbilstoši aprēķinam</w:t>
            </w:r>
          </w:p>
          <w:p w14:paraId="06D7666A" w14:textId="77777777" w:rsidR="00DA7F9C" w:rsidRPr="009D07C7" w:rsidRDefault="00DA7F9C" w:rsidP="00E65D59">
            <w:pPr>
              <w:ind w:left="360"/>
              <w:rPr>
                <w:sz w:val="22"/>
                <w:szCs w:val="22"/>
              </w:rPr>
            </w:pPr>
          </w:p>
          <w:p w14:paraId="1080B106" w14:textId="77777777" w:rsidR="00DA7F9C" w:rsidRPr="009D07C7" w:rsidRDefault="00DA7F9C" w:rsidP="00E65D59">
            <w:pPr>
              <w:ind w:left="360"/>
              <w:rPr>
                <w:sz w:val="22"/>
                <w:szCs w:val="22"/>
              </w:rPr>
            </w:pPr>
          </w:p>
          <w:p w14:paraId="3413F5B8" w14:textId="77777777" w:rsidR="00DA7F9C" w:rsidRPr="009D07C7" w:rsidRDefault="00DA7F9C" w:rsidP="00E65D59">
            <w:pPr>
              <w:ind w:left="360"/>
              <w:rPr>
                <w:sz w:val="22"/>
                <w:szCs w:val="22"/>
              </w:rPr>
            </w:pPr>
          </w:p>
          <w:p w14:paraId="7CC652B5" w14:textId="77777777" w:rsidR="00DA7F9C" w:rsidRPr="009D07C7" w:rsidRDefault="00DA7F9C" w:rsidP="00E65D59">
            <w:pPr>
              <w:ind w:left="360"/>
              <w:rPr>
                <w:sz w:val="22"/>
                <w:szCs w:val="22"/>
              </w:rPr>
            </w:pPr>
          </w:p>
          <w:p w14:paraId="5F5FD2CD" w14:textId="77777777" w:rsidR="00DA7F9C" w:rsidRPr="009D07C7" w:rsidRDefault="00DA7F9C" w:rsidP="00E65D59">
            <w:pPr>
              <w:ind w:left="360"/>
              <w:rPr>
                <w:sz w:val="22"/>
                <w:szCs w:val="22"/>
              </w:rPr>
            </w:pPr>
          </w:p>
          <w:p w14:paraId="7A26F5C9" w14:textId="77777777" w:rsidR="00DA7F9C" w:rsidRPr="009D07C7" w:rsidRDefault="00DA7F9C" w:rsidP="00E65D59">
            <w:pPr>
              <w:ind w:left="360"/>
              <w:rPr>
                <w:sz w:val="22"/>
                <w:szCs w:val="22"/>
              </w:rPr>
            </w:pPr>
          </w:p>
          <w:p w14:paraId="43B00EC3" w14:textId="77777777" w:rsidR="00DA7F9C" w:rsidRPr="009D07C7" w:rsidRDefault="00DA7F9C" w:rsidP="00E65D59">
            <w:pPr>
              <w:ind w:left="360"/>
              <w:rPr>
                <w:sz w:val="22"/>
                <w:szCs w:val="22"/>
              </w:rPr>
            </w:pPr>
          </w:p>
          <w:p w14:paraId="54333AA9" w14:textId="77777777" w:rsidR="00DA7F9C" w:rsidRPr="009D07C7" w:rsidRDefault="00DA7F9C" w:rsidP="00E65D59">
            <w:pPr>
              <w:ind w:left="360"/>
              <w:rPr>
                <w:sz w:val="22"/>
                <w:szCs w:val="22"/>
              </w:rPr>
            </w:pPr>
          </w:p>
          <w:p w14:paraId="4C5E4DD8" w14:textId="77777777" w:rsidR="00DA7F9C" w:rsidRPr="009D07C7" w:rsidRDefault="00DA7F9C" w:rsidP="00E65D59">
            <w:pPr>
              <w:ind w:left="360"/>
              <w:rPr>
                <w:sz w:val="22"/>
                <w:szCs w:val="22"/>
              </w:rPr>
            </w:pPr>
          </w:p>
          <w:p w14:paraId="58DD3940" w14:textId="77777777" w:rsidR="00DA7F9C" w:rsidRPr="009D07C7" w:rsidRDefault="00DA7F9C" w:rsidP="00E65D59">
            <w:pPr>
              <w:ind w:left="360"/>
              <w:rPr>
                <w:sz w:val="22"/>
                <w:szCs w:val="22"/>
              </w:rPr>
            </w:pPr>
          </w:p>
          <w:p w14:paraId="39EA27AA" w14:textId="77777777" w:rsidR="00DA7F9C" w:rsidRPr="009D07C7" w:rsidRDefault="00DA7F9C" w:rsidP="00E65D59">
            <w:pPr>
              <w:ind w:left="360"/>
              <w:rPr>
                <w:sz w:val="22"/>
                <w:szCs w:val="22"/>
              </w:rPr>
            </w:pPr>
          </w:p>
          <w:p w14:paraId="67006F4F" w14:textId="77777777" w:rsidR="00DA7F9C" w:rsidRPr="009D07C7" w:rsidRDefault="00DA7F9C" w:rsidP="00E65D59">
            <w:pPr>
              <w:ind w:left="360"/>
              <w:rPr>
                <w:sz w:val="22"/>
                <w:szCs w:val="22"/>
              </w:rPr>
            </w:pPr>
          </w:p>
          <w:p w14:paraId="16BB1FA4" w14:textId="77777777" w:rsidR="00DA7F9C" w:rsidRPr="009D07C7" w:rsidRDefault="00DA7F9C" w:rsidP="00E65D59">
            <w:pPr>
              <w:ind w:left="360"/>
              <w:rPr>
                <w:sz w:val="22"/>
                <w:szCs w:val="22"/>
              </w:rPr>
            </w:pPr>
          </w:p>
          <w:p w14:paraId="23B9864F" w14:textId="77777777" w:rsidR="00DA7F9C" w:rsidRPr="009D07C7" w:rsidRDefault="00DA7F9C" w:rsidP="00E65D59">
            <w:pPr>
              <w:ind w:left="360"/>
              <w:rPr>
                <w:sz w:val="22"/>
                <w:szCs w:val="22"/>
              </w:rPr>
            </w:pPr>
          </w:p>
          <w:p w14:paraId="1F62533A" w14:textId="77777777" w:rsidR="00DA7F9C" w:rsidRPr="009D07C7" w:rsidRDefault="00DA7F9C" w:rsidP="00E65D59">
            <w:pPr>
              <w:ind w:left="360"/>
              <w:rPr>
                <w:sz w:val="22"/>
                <w:szCs w:val="22"/>
              </w:rPr>
            </w:pPr>
          </w:p>
          <w:p w14:paraId="1A1F9956" w14:textId="77777777" w:rsidR="00DA7F9C" w:rsidRPr="009D07C7" w:rsidRDefault="00DA7F9C" w:rsidP="00E65D59">
            <w:pPr>
              <w:ind w:left="360"/>
              <w:rPr>
                <w:sz w:val="22"/>
                <w:szCs w:val="22"/>
              </w:rPr>
            </w:pPr>
          </w:p>
          <w:p w14:paraId="494A33BC" w14:textId="77777777" w:rsidR="00DA7F9C" w:rsidRPr="009D07C7" w:rsidRDefault="00DA7F9C" w:rsidP="00E65D59">
            <w:pPr>
              <w:ind w:left="360"/>
              <w:rPr>
                <w:sz w:val="22"/>
                <w:szCs w:val="22"/>
              </w:rPr>
            </w:pPr>
          </w:p>
          <w:p w14:paraId="3EAF95AE" w14:textId="77777777" w:rsidR="00DA7F9C" w:rsidRPr="009D07C7" w:rsidRDefault="00DA7F9C" w:rsidP="00E65D59">
            <w:pPr>
              <w:ind w:left="360"/>
              <w:rPr>
                <w:sz w:val="22"/>
                <w:szCs w:val="22"/>
              </w:rPr>
            </w:pPr>
          </w:p>
          <w:p w14:paraId="710DFAA4" w14:textId="77777777" w:rsidR="00DA7F9C" w:rsidRPr="009D07C7" w:rsidRDefault="00DA7F9C" w:rsidP="00E65D59">
            <w:pPr>
              <w:ind w:left="360"/>
              <w:rPr>
                <w:sz w:val="22"/>
                <w:szCs w:val="22"/>
              </w:rPr>
            </w:pPr>
          </w:p>
          <w:p w14:paraId="40555BE4" w14:textId="77777777" w:rsidR="00DA7F9C" w:rsidRPr="009D07C7" w:rsidRDefault="00DA7F9C" w:rsidP="00E65D59">
            <w:pPr>
              <w:ind w:left="360"/>
              <w:rPr>
                <w:sz w:val="22"/>
                <w:szCs w:val="22"/>
              </w:rPr>
            </w:pPr>
          </w:p>
          <w:p w14:paraId="25B30C7A" w14:textId="77777777" w:rsidR="00DA7F9C" w:rsidRPr="009D07C7" w:rsidRDefault="00DA7F9C" w:rsidP="00E65D59">
            <w:pPr>
              <w:ind w:left="360"/>
              <w:rPr>
                <w:sz w:val="22"/>
                <w:szCs w:val="22"/>
              </w:rPr>
            </w:pPr>
          </w:p>
          <w:p w14:paraId="60F26535" w14:textId="77777777" w:rsidR="00DA7F9C" w:rsidRPr="009D07C7" w:rsidRDefault="00DA7F9C" w:rsidP="00E65D59">
            <w:pPr>
              <w:ind w:left="360"/>
              <w:rPr>
                <w:sz w:val="22"/>
                <w:szCs w:val="22"/>
              </w:rPr>
            </w:pPr>
          </w:p>
          <w:p w14:paraId="4E2187A2" w14:textId="77777777" w:rsidR="00DA7F9C" w:rsidRPr="009D07C7" w:rsidRDefault="00DA7F9C" w:rsidP="00E65D59">
            <w:pPr>
              <w:ind w:left="360"/>
              <w:rPr>
                <w:sz w:val="22"/>
                <w:szCs w:val="22"/>
              </w:rPr>
            </w:pPr>
          </w:p>
          <w:p w14:paraId="775D2279" w14:textId="77777777" w:rsidR="00DA7F9C" w:rsidRPr="009D07C7" w:rsidRDefault="00DA7F9C" w:rsidP="00E65D59">
            <w:pPr>
              <w:ind w:left="360"/>
              <w:rPr>
                <w:sz w:val="22"/>
                <w:szCs w:val="22"/>
              </w:rPr>
            </w:pPr>
          </w:p>
          <w:p w14:paraId="4B0066E1" w14:textId="77777777" w:rsidR="00DA7F9C" w:rsidRPr="009D07C7" w:rsidRDefault="00DA7F9C" w:rsidP="00E65D59">
            <w:pPr>
              <w:ind w:left="360"/>
              <w:rPr>
                <w:sz w:val="22"/>
                <w:szCs w:val="22"/>
              </w:rPr>
            </w:pPr>
          </w:p>
          <w:p w14:paraId="6977A75E" w14:textId="77777777" w:rsidR="00DA7F9C" w:rsidRPr="009D07C7" w:rsidRDefault="00DA7F9C" w:rsidP="00E65D59">
            <w:pPr>
              <w:ind w:left="360"/>
              <w:rPr>
                <w:sz w:val="22"/>
                <w:szCs w:val="22"/>
              </w:rPr>
            </w:pPr>
          </w:p>
          <w:p w14:paraId="2E5CB4FD" w14:textId="77777777" w:rsidR="00DA7F9C" w:rsidRPr="009D07C7" w:rsidRDefault="00DA7F9C" w:rsidP="00E65D59">
            <w:pPr>
              <w:ind w:left="360"/>
              <w:rPr>
                <w:sz w:val="22"/>
                <w:szCs w:val="22"/>
              </w:rPr>
            </w:pPr>
          </w:p>
          <w:p w14:paraId="359820B5" w14:textId="77777777" w:rsidR="00DA7F9C" w:rsidRPr="009D07C7" w:rsidRDefault="00DA7F9C" w:rsidP="00E65D59">
            <w:pPr>
              <w:ind w:left="360"/>
              <w:rPr>
                <w:sz w:val="22"/>
                <w:szCs w:val="22"/>
              </w:rPr>
            </w:pPr>
          </w:p>
          <w:p w14:paraId="282B8E95" w14:textId="77777777" w:rsidR="00DA7F9C" w:rsidRPr="009D07C7" w:rsidRDefault="00DA7F9C" w:rsidP="00E65D59">
            <w:pPr>
              <w:ind w:left="360"/>
              <w:rPr>
                <w:sz w:val="22"/>
                <w:szCs w:val="22"/>
              </w:rPr>
            </w:pPr>
          </w:p>
          <w:p w14:paraId="2A09A0E7" w14:textId="77777777" w:rsidR="00DA7F9C" w:rsidRPr="009D07C7" w:rsidRDefault="00DA7F9C" w:rsidP="003C2BFB">
            <w:pPr>
              <w:numPr>
                <w:ilvl w:val="0"/>
                <w:numId w:val="7"/>
              </w:numPr>
              <w:jc w:val="center"/>
              <w:rPr>
                <w:sz w:val="22"/>
                <w:szCs w:val="22"/>
              </w:rPr>
            </w:pPr>
            <w:r w:rsidRPr="009D07C7">
              <w:rPr>
                <w:sz w:val="22"/>
                <w:szCs w:val="22"/>
              </w:rPr>
              <w:t>10%</w:t>
            </w:r>
            <w:r w:rsidR="00B07DC4" w:rsidRPr="009D07C7">
              <w:rPr>
                <w:sz w:val="22"/>
                <w:szCs w:val="22"/>
              </w:rPr>
              <w:t xml:space="preserve"> </w:t>
            </w:r>
            <w:r w:rsidR="00A30975" w:rsidRPr="009D07C7">
              <w:rPr>
                <w:sz w:val="22"/>
                <w:szCs w:val="22"/>
              </w:rPr>
              <w:t>atbilstoši aprēķinam</w:t>
            </w:r>
          </w:p>
          <w:p w14:paraId="4E6E8F4A" w14:textId="77777777" w:rsidR="00DA7F9C" w:rsidRPr="009D07C7" w:rsidRDefault="00DA7F9C" w:rsidP="00E65D59">
            <w:pPr>
              <w:ind w:left="360"/>
              <w:rPr>
                <w:sz w:val="22"/>
                <w:szCs w:val="22"/>
              </w:rPr>
            </w:pPr>
          </w:p>
          <w:p w14:paraId="027BEDC4" w14:textId="77777777" w:rsidR="00DA7F9C" w:rsidRPr="009D07C7" w:rsidRDefault="00DA7F9C" w:rsidP="00E65D59">
            <w:pPr>
              <w:ind w:left="360"/>
              <w:rPr>
                <w:sz w:val="22"/>
                <w:szCs w:val="22"/>
              </w:rPr>
            </w:pPr>
          </w:p>
          <w:p w14:paraId="675D308C" w14:textId="77777777" w:rsidR="00DA7F9C" w:rsidRPr="009D07C7" w:rsidRDefault="00DA7F9C" w:rsidP="00E65D59">
            <w:pPr>
              <w:ind w:left="360"/>
              <w:rPr>
                <w:sz w:val="22"/>
                <w:szCs w:val="22"/>
              </w:rPr>
            </w:pPr>
          </w:p>
          <w:p w14:paraId="7D1C5B7A" w14:textId="77777777" w:rsidR="00DA7F9C" w:rsidRPr="009D07C7" w:rsidRDefault="00DA7F9C" w:rsidP="00E65D59">
            <w:pPr>
              <w:ind w:left="360"/>
              <w:rPr>
                <w:sz w:val="22"/>
                <w:szCs w:val="22"/>
              </w:rPr>
            </w:pPr>
          </w:p>
          <w:p w14:paraId="43EE4863" w14:textId="77777777" w:rsidR="00DA7F9C" w:rsidRPr="009D07C7" w:rsidRDefault="00DA7F9C" w:rsidP="00E65D59">
            <w:pPr>
              <w:ind w:left="360"/>
              <w:rPr>
                <w:sz w:val="22"/>
                <w:szCs w:val="22"/>
              </w:rPr>
            </w:pPr>
          </w:p>
          <w:p w14:paraId="275BDB8D" w14:textId="77777777" w:rsidR="00DA7F9C" w:rsidRPr="009D07C7" w:rsidRDefault="00DA7F9C" w:rsidP="00E65D59">
            <w:pPr>
              <w:ind w:left="360"/>
              <w:rPr>
                <w:sz w:val="22"/>
                <w:szCs w:val="22"/>
              </w:rPr>
            </w:pPr>
          </w:p>
          <w:p w14:paraId="0A02850C" w14:textId="77777777" w:rsidR="00DA7F9C" w:rsidRPr="009D07C7" w:rsidRDefault="00DA7F9C" w:rsidP="00E65D59">
            <w:pPr>
              <w:ind w:left="360"/>
              <w:rPr>
                <w:sz w:val="22"/>
                <w:szCs w:val="22"/>
              </w:rPr>
            </w:pPr>
          </w:p>
          <w:p w14:paraId="1DB6C227" w14:textId="77777777" w:rsidR="00DA7F9C" w:rsidRPr="009D07C7" w:rsidRDefault="00DA7F9C" w:rsidP="00E65D59">
            <w:pPr>
              <w:ind w:left="360"/>
              <w:rPr>
                <w:sz w:val="22"/>
                <w:szCs w:val="22"/>
              </w:rPr>
            </w:pPr>
          </w:p>
          <w:p w14:paraId="07430CC4" w14:textId="77777777" w:rsidR="00DA7F9C" w:rsidRPr="009D07C7" w:rsidRDefault="00DA7F9C" w:rsidP="00E65D59">
            <w:pPr>
              <w:ind w:left="360"/>
              <w:rPr>
                <w:sz w:val="22"/>
                <w:szCs w:val="22"/>
              </w:rPr>
            </w:pPr>
          </w:p>
          <w:p w14:paraId="324D7054" w14:textId="77777777" w:rsidR="00DA7F9C" w:rsidRPr="009D07C7" w:rsidRDefault="00DA7F9C" w:rsidP="00E65D59">
            <w:pPr>
              <w:ind w:left="360"/>
              <w:rPr>
                <w:sz w:val="22"/>
                <w:szCs w:val="22"/>
              </w:rPr>
            </w:pPr>
          </w:p>
          <w:p w14:paraId="5FDB1809" w14:textId="77777777" w:rsidR="00DA7F9C" w:rsidRPr="009D07C7" w:rsidRDefault="00DA7F9C" w:rsidP="00E65D59">
            <w:pPr>
              <w:ind w:left="360"/>
              <w:rPr>
                <w:sz w:val="22"/>
                <w:szCs w:val="22"/>
              </w:rPr>
            </w:pPr>
          </w:p>
          <w:p w14:paraId="73360315" w14:textId="77777777" w:rsidR="00DA7F9C" w:rsidRDefault="00DA7F9C" w:rsidP="00E65D59">
            <w:pPr>
              <w:ind w:left="360"/>
              <w:rPr>
                <w:sz w:val="22"/>
                <w:szCs w:val="22"/>
              </w:rPr>
            </w:pPr>
          </w:p>
          <w:p w14:paraId="7A213975" w14:textId="77777777" w:rsidR="00654481" w:rsidRDefault="00654481" w:rsidP="00E65D59">
            <w:pPr>
              <w:ind w:left="360"/>
              <w:rPr>
                <w:sz w:val="22"/>
                <w:szCs w:val="22"/>
              </w:rPr>
            </w:pPr>
          </w:p>
          <w:p w14:paraId="67A62F05" w14:textId="77777777" w:rsidR="00654481" w:rsidRPr="009D07C7" w:rsidRDefault="00654481" w:rsidP="00E65D59">
            <w:pPr>
              <w:ind w:left="360"/>
              <w:rPr>
                <w:sz w:val="22"/>
                <w:szCs w:val="22"/>
              </w:rPr>
            </w:pPr>
          </w:p>
          <w:p w14:paraId="6D66B3D9" w14:textId="77777777" w:rsidR="00DA7F9C" w:rsidRPr="009D07C7" w:rsidRDefault="00DA7F9C" w:rsidP="00E65D59">
            <w:pPr>
              <w:ind w:left="360"/>
              <w:rPr>
                <w:sz w:val="22"/>
                <w:szCs w:val="22"/>
              </w:rPr>
            </w:pPr>
          </w:p>
          <w:p w14:paraId="180E6E4A" w14:textId="77777777" w:rsidR="00DA7F9C" w:rsidRPr="009D07C7" w:rsidRDefault="00DA7F9C" w:rsidP="003C2BFB">
            <w:pPr>
              <w:numPr>
                <w:ilvl w:val="0"/>
                <w:numId w:val="7"/>
              </w:numPr>
              <w:jc w:val="center"/>
              <w:rPr>
                <w:sz w:val="22"/>
                <w:szCs w:val="22"/>
              </w:rPr>
            </w:pPr>
            <w:r w:rsidRPr="009D07C7">
              <w:rPr>
                <w:sz w:val="22"/>
                <w:szCs w:val="22"/>
              </w:rPr>
              <w:t>5%</w:t>
            </w:r>
            <w:r w:rsidR="003C4617" w:rsidRPr="009D07C7">
              <w:rPr>
                <w:sz w:val="22"/>
                <w:szCs w:val="22"/>
              </w:rPr>
              <w:t xml:space="preserve"> </w:t>
            </w:r>
            <w:r w:rsidR="00A30975" w:rsidRPr="009D07C7">
              <w:rPr>
                <w:sz w:val="22"/>
                <w:szCs w:val="22"/>
              </w:rPr>
              <w:t>atbilstoši aprēķinam pie a) un b) punktiem</w:t>
            </w:r>
          </w:p>
        </w:tc>
      </w:tr>
      <w:tr w:rsidR="00DD563F" w:rsidRPr="009D07C7" w14:paraId="53AFA430" w14:textId="77777777" w:rsidTr="00E569DC">
        <w:trPr>
          <w:trHeight w:val="1608"/>
        </w:trPr>
        <w:tc>
          <w:tcPr>
            <w:tcW w:w="276" w:type="pct"/>
            <w:tcBorders>
              <w:bottom w:val="single" w:sz="4" w:space="0" w:color="auto"/>
            </w:tcBorders>
          </w:tcPr>
          <w:p w14:paraId="1B2DAE17" w14:textId="77777777" w:rsidR="00DD563F" w:rsidRPr="009D07C7" w:rsidRDefault="00DD563F" w:rsidP="00E65D59">
            <w:pPr>
              <w:numPr>
                <w:ilvl w:val="0"/>
                <w:numId w:val="1"/>
              </w:numPr>
              <w:rPr>
                <w:sz w:val="22"/>
                <w:szCs w:val="22"/>
              </w:rPr>
            </w:pPr>
          </w:p>
        </w:tc>
        <w:tc>
          <w:tcPr>
            <w:tcW w:w="1726" w:type="pct"/>
            <w:tcBorders>
              <w:bottom w:val="single" w:sz="4" w:space="0" w:color="auto"/>
            </w:tcBorders>
          </w:tcPr>
          <w:p w14:paraId="427C7336" w14:textId="77777777" w:rsidR="00DD563F" w:rsidRPr="00654481" w:rsidRDefault="00DD563F" w:rsidP="00E65D59">
            <w:pPr>
              <w:rPr>
                <w:b/>
                <w:sz w:val="22"/>
                <w:szCs w:val="22"/>
              </w:rPr>
            </w:pPr>
            <w:r w:rsidRPr="00654481">
              <w:rPr>
                <w:b/>
                <w:sz w:val="22"/>
                <w:szCs w:val="22"/>
              </w:rPr>
              <w:t>Krāpšana</w:t>
            </w:r>
            <w:r w:rsidR="00D84A37">
              <w:rPr>
                <w:rStyle w:val="FootnoteReference"/>
                <w:b/>
                <w:sz w:val="22"/>
                <w:szCs w:val="22"/>
              </w:rPr>
              <w:footnoteReference w:id="4"/>
            </w:r>
          </w:p>
          <w:p w14:paraId="3B5CA3B4" w14:textId="77777777" w:rsidR="00DD563F" w:rsidRPr="009D07C7" w:rsidRDefault="00DD563F" w:rsidP="004B6C02">
            <w:pPr>
              <w:pStyle w:val="Default"/>
              <w:jc w:val="both"/>
              <w:rPr>
                <w:rFonts w:ascii="Times New Roman" w:hAnsi="Times New Roman" w:cs="Times New Roman"/>
                <w:sz w:val="22"/>
                <w:szCs w:val="22"/>
              </w:rPr>
            </w:pPr>
            <w:r w:rsidRPr="009D07C7">
              <w:rPr>
                <w:rFonts w:ascii="Times New Roman" w:hAnsi="Times New Roman" w:cs="Times New Roman"/>
                <w:color w:val="auto"/>
                <w:sz w:val="22"/>
                <w:szCs w:val="22"/>
              </w:rPr>
              <w:t xml:space="preserve">Krāpšanas gadījumi uzskatāmi par nopietnu pārkāpumu. </w:t>
            </w:r>
            <w:r w:rsidRPr="009D07C7">
              <w:rPr>
                <w:rFonts w:ascii="Times New Roman" w:hAnsi="Times New Roman" w:cs="Times New Roman"/>
                <w:sz w:val="22"/>
                <w:szCs w:val="22"/>
              </w:rPr>
              <w:t xml:space="preserve">Līguma </w:t>
            </w:r>
            <w:r w:rsidR="00810AD0" w:rsidRPr="009D07C7">
              <w:rPr>
                <w:rFonts w:ascii="Times New Roman" w:hAnsi="Times New Roman" w:cs="Times New Roman"/>
                <w:sz w:val="22"/>
                <w:szCs w:val="22"/>
              </w:rPr>
              <w:t>325</w:t>
            </w:r>
            <w:r w:rsidR="00536D59">
              <w:rPr>
                <w:rFonts w:ascii="Times New Roman" w:hAnsi="Times New Roman" w:cs="Times New Roman"/>
                <w:sz w:val="22"/>
                <w:szCs w:val="22"/>
              </w:rPr>
              <w:t>.</w:t>
            </w:r>
            <w:r w:rsidRPr="009D07C7">
              <w:rPr>
                <w:rFonts w:ascii="Times New Roman" w:hAnsi="Times New Roman" w:cs="Times New Roman"/>
                <w:sz w:val="22"/>
                <w:szCs w:val="22"/>
              </w:rPr>
              <w:t xml:space="preserve">pantā izvirzīts noteikums </w:t>
            </w:r>
            <w:r w:rsidR="00DB6BB6">
              <w:rPr>
                <w:rFonts w:ascii="Times New Roman" w:hAnsi="Times New Roman" w:cs="Times New Roman"/>
                <w:sz w:val="22"/>
                <w:szCs w:val="22"/>
              </w:rPr>
              <w:t>ES</w:t>
            </w:r>
            <w:r w:rsidRPr="009D07C7">
              <w:rPr>
                <w:rFonts w:ascii="Times New Roman" w:hAnsi="Times New Roman" w:cs="Times New Roman"/>
                <w:sz w:val="22"/>
                <w:szCs w:val="22"/>
              </w:rPr>
              <w:t xml:space="preserve"> un dalībvalstīm apkarot krāpšanu un citādu nelegālu darbību, kas apdraud </w:t>
            </w:r>
            <w:r w:rsidR="00DB6BB6">
              <w:rPr>
                <w:rFonts w:ascii="Times New Roman" w:hAnsi="Times New Roman" w:cs="Times New Roman"/>
                <w:sz w:val="22"/>
                <w:szCs w:val="22"/>
              </w:rPr>
              <w:t xml:space="preserve">ES </w:t>
            </w:r>
            <w:r w:rsidRPr="009D07C7">
              <w:rPr>
                <w:rFonts w:ascii="Times New Roman" w:hAnsi="Times New Roman" w:cs="Times New Roman"/>
                <w:sz w:val="22"/>
                <w:szCs w:val="22"/>
              </w:rPr>
              <w:t xml:space="preserve"> finanšu intereses. Turklāt saskaņā ar Padomes </w:t>
            </w:r>
            <w:r w:rsidR="00BB6B82" w:rsidRPr="009D07C7">
              <w:rPr>
                <w:rFonts w:ascii="Times New Roman" w:hAnsi="Times New Roman" w:cs="Times New Roman"/>
                <w:sz w:val="22"/>
                <w:szCs w:val="22"/>
              </w:rPr>
              <w:t>Regul</w:t>
            </w:r>
            <w:r w:rsidR="00BB6B82">
              <w:rPr>
                <w:rFonts w:ascii="Times New Roman" w:hAnsi="Times New Roman" w:cs="Times New Roman"/>
                <w:sz w:val="22"/>
                <w:szCs w:val="22"/>
              </w:rPr>
              <w:t>u</w:t>
            </w:r>
            <w:r w:rsidR="00BB6B82" w:rsidRPr="009D07C7">
              <w:rPr>
                <w:rFonts w:ascii="Times New Roman" w:hAnsi="Times New Roman" w:cs="Times New Roman"/>
                <w:sz w:val="22"/>
                <w:szCs w:val="22"/>
              </w:rPr>
              <w:t xml:space="preserve"> </w:t>
            </w:r>
            <w:r w:rsidRPr="009D07C7">
              <w:rPr>
                <w:rFonts w:ascii="Times New Roman" w:hAnsi="Times New Roman" w:cs="Times New Roman"/>
                <w:sz w:val="22"/>
                <w:szCs w:val="22"/>
              </w:rPr>
              <w:t xml:space="preserve">(EK, </w:t>
            </w:r>
            <w:r w:rsidRPr="009D07C7">
              <w:rPr>
                <w:rFonts w:ascii="Times New Roman" w:hAnsi="Times New Roman" w:cs="Times New Roman"/>
                <w:i/>
                <w:iCs/>
                <w:sz w:val="22"/>
                <w:szCs w:val="22"/>
              </w:rPr>
              <w:t>Euratom</w:t>
            </w:r>
            <w:r w:rsidRPr="009D07C7">
              <w:rPr>
                <w:rFonts w:ascii="Times New Roman" w:hAnsi="Times New Roman" w:cs="Times New Roman"/>
                <w:sz w:val="22"/>
                <w:szCs w:val="22"/>
              </w:rPr>
              <w:t xml:space="preserve">) </w:t>
            </w:r>
            <w:r w:rsidR="00536D59">
              <w:rPr>
                <w:rFonts w:ascii="Times New Roman" w:hAnsi="Times New Roman" w:cs="Times New Roman"/>
                <w:sz w:val="22"/>
                <w:szCs w:val="22"/>
              </w:rPr>
              <w:t>Nr.</w:t>
            </w:r>
            <w:r w:rsidR="007A1014" w:rsidRPr="007A1014">
              <w:rPr>
                <w:rFonts w:ascii="Times New Roman" w:hAnsi="Times New Roman" w:cs="Times New Roman"/>
                <w:sz w:val="22"/>
                <w:szCs w:val="22"/>
              </w:rPr>
              <w:t xml:space="preserve">966/2012 </w:t>
            </w:r>
            <w:r w:rsidRPr="009D07C7">
              <w:rPr>
                <w:rFonts w:ascii="Times New Roman" w:hAnsi="Times New Roman" w:cs="Times New Roman"/>
                <w:sz w:val="22"/>
                <w:szCs w:val="22"/>
              </w:rPr>
              <w:t xml:space="preserve">par Finanšu regulu, ko piemēro </w:t>
            </w:r>
            <w:r w:rsidR="008244CD">
              <w:rPr>
                <w:rFonts w:ascii="Times New Roman" w:hAnsi="Times New Roman" w:cs="Times New Roman"/>
                <w:sz w:val="22"/>
                <w:szCs w:val="22"/>
              </w:rPr>
              <w:t>ES</w:t>
            </w:r>
            <w:r w:rsidRPr="009D07C7">
              <w:rPr>
                <w:rFonts w:ascii="Times New Roman" w:hAnsi="Times New Roman" w:cs="Times New Roman"/>
                <w:sz w:val="22"/>
                <w:szCs w:val="22"/>
              </w:rPr>
              <w:t xml:space="preserve"> vispārējam budžetam, dalītajā pārvaldībā dalībvalstis ir atbildīgas par pārkāpumu un krāpšanas novēršanu un ar to saistītu jautājumu risināšanu. Saskaņā ar dalītas pārvaldības tiesisko regulējumu, lai aizsargātu </w:t>
            </w:r>
            <w:r w:rsidR="00DB6BB6">
              <w:rPr>
                <w:rFonts w:ascii="Times New Roman" w:hAnsi="Times New Roman" w:cs="Times New Roman"/>
                <w:sz w:val="22"/>
                <w:szCs w:val="22"/>
              </w:rPr>
              <w:t xml:space="preserve">ES </w:t>
            </w:r>
            <w:r w:rsidRPr="009D07C7">
              <w:rPr>
                <w:rFonts w:ascii="Times New Roman" w:hAnsi="Times New Roman" w:cs="Times New Roman"/>
                <w:sz w:val="22"/>
                <w:szCs w:val="22"/>
              </w:rPr>
              <w:t xml:space="preserve"> </w:t>
            </w:r>
            <w:r w:rsidRPr="009D07C7">
              <w:rPr>
                <w:rFonts w:ascii="Times New Roman" w:hAnsi="Times New Roman" w:cs="Times New Roman"/>
                <w:sz w:val="22"/>
                <w:szCs w:val="22"/>
              </w:rPr>
              <w:lastRenderedPageBreak/>
              <w:t xml:space="preserve">finanšu intereses, dalībvalstis galvenokārt ir atbildīgas par tādu vadības un kontroles sistēmu izveidi, kas atbilst </w:t>
            </w:r>
            <w:r w:rsidR="00DB6BB6">
              <w:rPr>
                <w:rFonts w:ascii="Times New Roman" w:hAnsi="Times New Roman" w:cs="Times New Roman"/>
                <w:sz w:val="22"/>
                <w:szCs w:val="22"/>
              </w:rPr>
              <w:t>ES</w:t>
            </w:r>
            <w:r w:rsidRPr="009D07C7">
              <w:rPr>
                <w:rFonts w:ascii="Times New Roman" w:hAnsi="Times New Roman" w:cs="Times New Roman"/>
                <w:sz w:val="22"/>
                <w:szCs w:val="22"/>
              </w:rPr>
              <w:t xml:space="preserve"> tiesību prasībām, un norīko revīzijas iestādes, kas pārbauda šo sistēmu darbības efektivitāti, lai nepieļautu un konstatētu krāpšanu un labotu pārkāpumus. </w:t>
            </w:r>
            <w:r w:rsidR="00BB6B82">
              <w:rPr>
                <w:rFonts w:ascii="Times New Roman" w:hAnsi="Times New Roman" w:cs="Times New Roman"/>
                <w:sz w:val="22"/>
                <w:szCs w:val="22"/>
              </w:rPr>
              <w:t>Neatbilstību</w:t>
            </w:r>
            <w:r w:rsidR="00BB6B82" w:rsidRPr="009D07C7">
              <w:rPr>
                <w:rFonts w:ascii="Times New Roman" w:hAnsi="Times New Roman" w:cs="Times New Roman"/>
                <w:sz w:val="22"/>
                <w:szCs w:val="22"/>
              </w:rPr>
              <w:t xml:space="preserve"> </w:t>
            </w:r>
            <w:r w:rsidRPr="009D07C7">
              <w:rPr>
                <w:rFonts w:ascii="Times New Roman" w:hAnsi="Times New Roman" w:cs="Times New Roman"/>
                <w:sz w:val="22"/>
                <w:szCs w:val="22"/>
              </w:rPr>
              <w:t>vai aizdomu par krāpšanu</w:t>
            </w:r>
            <w:r w:rsidR="00603709">
              <w:rPr>
                <w:rStyle w:val="FootnoteReference"/>
                <w:rFonts w:ascii="Times New Roman" w:hAnsi="Times New Roman" w:cs="Times New Roman"/>
                <w:sz w:val="22"/>
                <w:szCs w:val="22"/>
              </w:rPr>
              <w:footnoteReference w:id="5"/>
            </w:r>
            <w:r w:rsidRPr="009D07C7">
              <w:rPr>
                <w:rFonts w:ascii="Times New Roman" w:hAnsi="Times New Roman" w:cs="Times New Roman"/>
                <w:sz w:val="22"/>
                <w:szCs w:val="22"/>
              </w:rPr>
              <w:t xml:space="preserve"> gadījumā Komisija jāinformē saskaņā ar ziņošanas procedūru, ko nosaka </w:t>
            </w:r>
            <w:r w:rsidR="003F0E9A" w:rsidRPr="003F0E9A">
              <w:rPr>
                <w:rFonts w:ascii="Times New Roman" w:hAnsi="Times New Roman" w:cs="Times New Roman"/>
                <w:sz w:val="22"/>
                <w:szCs w:val="22"/>
              </w:rPr>
              <w:t xml:space="preserve">Eiropas Komisijas 2015.gada 8.jūlija  </w:t>
            </w:r>
            <w:r w:rsidR="004B6C02" w:rsidRPr="004B6C02">
              <w:rPr>
                <w:rFonts w:ascii="Times New Roman" w:hAnsi="Times New Roman" w:cs="Times New Roman"/>
                <w:sz w:val="22"/>
                <w:szCs w:val="22"/>
              </w:rPr>
              <w:t>Deleģētā regula (ES) Nr.2015/1970</w:t>
            </w:r>
            <w:r w:rsidR="004B6C02">
              <w:rPr>
                <w:rFonts w:ascii="Times New Roman" w:hAnsi="Times New Roman" w:cs="Times New Roman"/>
                <w:sz w:val="22"/>
                <w:szCs w:val="22"/>
              </w:rPr>
              <w:t xml:space="preserve">, </w:t>
            </w:r>
            <w:r w:rsidR="004B6C02" w:rsidRPr="004B6C02">
              <w:rPr>
                <w:rFonts w:ascii="Times New Roman" w:hAnsi="Times New Roman" w:cs="Times New Roman"/>
                <w:sz w:val="22"/>
                <w:szCs w:val="22"/>
              </w:rPr>
              <w:t>ar ko papildina Eiropas Parlamenta un Padomes Regulu (ES) Nr.1303/2013 ar īpašiem noteikumiem par ziņošanu par pārkāpumiem attiecībā uz Eiropas Reģionālās attīstības fondu, Eiropas Sociālo fondu, Kohēzijas fondu un Eiropas Jūrlietu un zivsaimniecības fondu</w:t>
            </w:r>
            <w:r w:rsidR="004B6C02" w:rsidRPr="004B6C02" w:rsidDel="004B6C02">
              <w:rPr>
                <w:rFonts w:ascii="Times New Roman" w:hAnsi="Times New Roman" w:cs="Times New Roman"/>
                <w:sz w:val="22"/>
                <w:szCs w:val="22"/>
              </w:rPr>
              <w:t xml:space="preserve"> </w:t>
            </w:r>
            <w:r w:rsidR="003F0E9A">
              <w:rPr>
                <w:rFonts w:ascii="Times New Roman" w:hAnsi="Times New Roman" w:cs="Times New Roman"/>
                <w:sz w:val="22"/>
                <w:szCs w:val="22"/>
              </w:rPr>
              <w:t xml:space="preserve">un </w:t>
            </w:r>
            <w:r w:rsidR="003F0E9A" w:rsidRPr="003F0E9A">
              <w:rPr>
                <w:rFonts w:ascii="Times New Roman" w:hAnsi="Times New Roman" w:cs="Times New Roman"/>
                <w:sz w:val="22"/>
                <w:szCs w:val="22"/>
              </w:rPr>
              <w:t xml:space="preserve">Eiropas Komisijas 2015.gada 8.jūlija  </w:t>
            </w:r>
            <w:r w:rsidR="004B6C02" w:rsidRPr="004B6C02">
              <w:rPr>
                <w:rFonts w:ascii="Times New Roman" w:hAnsi="Times New Roman" w:cs="Times New Roman"/>
                <w:sz w:val="22"/>
                <w:szCs w:val="22"/>
              </w:rPr>
              <w:t>Īstenošanas regula (ES) Nr.2015/1974, ar ko nosaka ziņošanas par pārkāpumiem biežumu un formātu attiecībā uz Eiropas Reģionālās attīstības fondu, Eiropas Sociālo fondu, Kohēzijas fondu un Eiropas Jūrlietu un zivsaimniecības fondu saskaņā ar Eiropas Parlamenta un Padomes Regulu (ES) Nr.1303/2013</w:t>
            </w:r>
            <w:r w:rsidR="003F0E9A">
              <w:rPr>
                <w:rFonts w:ascii="Times New Roman" w:hAnsi="Times New Roman" w:cs="Times New Roman"/>
                <w:sz w:val="22"/>
                <w:szCs w:val="22"/>
              </w:rPr>
              <w:t xml:space="preserve">. </w:t>
            </w:r>
            <w:r w:rsidRPr="009D07C7">
              <w:rPr>
                <w:rFonts w:ascii="Times New Roman" w:hAnsi="Times New Roman" w:cs="Times New Roman"/>
                <w:sz w:val="22"/>
                <w:szCs w:val="22"/>
              </w:rPr>
              <w:t xml:space="preserve">Atbilstoši 18.02.2009. Eiropas Komisijas „Informatīvam paziņojumam par krāpšanas pazīmēm attiecībā uz ERAF, ESF un KF” </w:t>
            </w:r>
            <w:r w:rsidRPr="009D07C7">
              <w:rPr>
                <w:rFonts w:ascii="Times New Roman" w:hAnsi="Times New Roman" w:cs="Times New Roman"/>
                <w:sz w:val="22"/>
                <w:szCs w:val="22"/>
                <w:u w:val="single"/>
              </w:rPr>
              <w:t xml:space="preserve">neatkarīgi no tā, vai pārkāpums ir netīšs vai tīšs (krāpšana), ar to saistītie izdevumi jāizslēdz no </w:t>
            </w:r>
            <w:r w:rsidR="00DB6BB6">
              <w:rPr>
                <w:rFonts w:ascii="Times New Roman" w:hAnsi="Times New Roman" w:cs="Times New Roman"/>
                <w:sz w:val="22"/>
                <w:szCs w:val="22"/>
                <w:u w:val="single"/>
              </w:rPr>
              <w:t>ES</w:t>
            </w:r>
            <w:r w:rsidR="00DB6BB6" w:rsidRPr="009D07C7">
              <w:rPr>
                <w:rFonts w:ascii="Times New Roman" w:hAnsi="Times New Roman" w:cs="Times New Roman"/>
                <w:sz w:val="22"/>
                <w:szCs w:val="22"/>
                <w:u w:val="single"/>
              </w:rPr>
              <w:t xml:space="preserve"> </w:t>
            </w:r>
            <w:r w:rsidRPr="009D07C7">
              <w:rPr>
                <w:rFonts w:ascii="Times New Roman" w:hAnsi="Times New Roman" w:cs="Times New Roman"/>
                <w:sz w:val="22"/>
                <w:szCs w:val="22"/>
                <w:u w:val="single"/>
              </w:rPr>
              <w:t>budžeta līdzfinansējuma</w:t>
            </w:r>
            <w:r w:rsidRPr="009D07C7">
              <w:rPr>
                <w:rFonts w:ascii="Times New Roman" w:hAnsi="Times New Roman" w:cs="Times New Roman"/>
                <w:sz w:val="22"/>
                <w:szCs w:val="22"/>
              </w:rPr>
              <w:t>.</w:t>
            </w:r>
          </w:p>
        </w:tc>
        <w:tc>
          <w:tcPr>
            <w:tcW w:w="2061" w:type="pct"/>
            <w:tcBorders>
              <w:bottom w:val="single" w:sz="4" w:space="0" w:color="auto"/>
            </w:tcBorders>
          </w:tcPr>
          <w:p w14:paraId="6C00F5FF" w14:textId="77777777" w:rsidR="00DD563F" w:rsidRPr="009D07C7" w:rsidRDefault="00DD563F" w:rsidP="00E65D59">
            <w:pPr>
              <w:pStyle w:val="Default"/>
              <w:jc w:val="both"/>
              <w:rPr>
                <w:rFonts w:ascii="Times New Roman" w:hAnsi="Times New Roman" w:cs="Times New Roman"/>
                <w:sz w:val="22"/>
                <w:szCs w:val="22"/>
              </w:rPr>
            </w:pPr>
            <w:r w:rsidRPr="009D07C7">
              <w:rPr>
                <w:rFonts w:ascii="Times New Roman" w:hAnsi="Times New Roman" w:cs="Times New Roman"/>
                <w:sz w:val="22"/>
                <w:szCs w:val="22"/>
              </w:rPr>
              <w:lastRenderedPageBreak/>
              <w:t>Krāpšanas gadījumu piemēri detalizēti ir paskaidroti 18.02.2009. Eiropas Komisijas „Informatīvajā paziņojumā par krāpšanas pazīmēm attiecībā uz ERAF, ESF un KF” (</w:t>
            </w:r>
            <w:hyperlink r:id="rId8" w:history="1">
              <w:r w:rsidRPr="009D07C7">
                <w:rPr>
                  <w:rStyle w:val="Hyperlink"/>
                  <w:rFonts w:ascii="Times New Roman" w:hAnsi="Times New Roman" w:cs="Times New Roman"/>
                  <w:sz w:val="22"/>
                  <w:szCs w:val="22"/>
                </w:rPr>
                <w:t>http://www.esfondi.lv/page.php?id=1017</w:t>
              </w:r>
            </w:hyperlink>
            <w:r w:rsidRPr="009D07C7">
              <w:rPr>
                <w:rFonts w:ascii="Times New Roman" w:hAnsi="Times New Roman" w:cs="Times New Roman"/>
                <w:sz w:val="22"/>
                <w:szCs w:val="22"/>
              </w:rPr>
              <w:t xml:space="preserve"> ).</w:t>
            </w:r>
          </w:p>
          <w:p w14:paraId="7BEA2E05" w14:textId="77777777" w:rsidR="00EC54FD" w:rsidRPr="009D07C7" w:rsidRDefault="00EC54FD" w:rsidP="00E65D59">
            <w:pPr>
              <w:pStyle w:val="Default"/>
              <w:jc w:val="both"/>
              <w:rPr>
                <w:rFonts w:ascii="Times New Roman" w:hAnsi="Times New Roman" w:cs="Times New Roman"/>
                <w:sz w:val="22"/>
                <w:szCs w:val="22"/>
              </w:rPr>
            </w:pPr>
          </w:p>
          <w:p w14:paraId="61F475B8" w14:textId="77777777" w:rsidR="00BA3A07" w:rsidRPr="009D07C7" w:rsidRDefault="00BA3A07" w:rsidP="00BA3A07">
            <w:pPr>
              <w:jc w:val="both"/>
              <w:rPr>
                <w:sz w:val="22"/>
                <w:szCs w:val="22"/>
              </w:rPr>
            </w:pPr>
            <w:r w:rsidRPr="009D07C7">
              <w:rPr>
                <w:sz w:val="22"/>
                <w:szCs w:val="22"/>
              </w:rPr>
              <w:t xml:space="preserve">Piemēram, ja krāpnieciskas darbības ir atklātas tikai renovācijas darbu organizēšanā, kas nav tieši saistīta ar citām projekta </w:t>
            </w:r>
            <w:r w:rsidR="00950C8C">
              <w:rPr>
                <w:sz w:val="22"/>
                <w:szCs w:val="22"/>
              </w:rPr>
              <w:t>darbībām</w:t>
            </w:r>
            <w:r w:rsidRPr="009D07C7">
              <w:rPr>
                <w:sz w:val="22"/>
                <w:szCs w:val="22"/>
              </w:rPr>
              <w:t xml:space="preserve">, piemēram, aprīkojuma iegādi un uzstādīšanu, tad korekciju piemēro tikai izdevumiem, kas saistīti ar renovācijas darbu organizēšanu. Jāizvērtē katrs gadījums atsevišķi, proti, jāizvērtē, kādu izdevumu daļu skar krāpnieciskās darbības. Ja, </w:t>
            </w:r>
            <w:r w:rsidRPr="009D07C7">
              <w:rPr>
                <w:sz w:val="22"/>
                <w:szCs w:val="22"/>
              </w:rPr>
              <w:lastRenderedPageBreak/>
              <w:t xml:space="preserve">piemēram, krāpnieciskas darbības tiek veiktas iepirkuma laikā, visi izdevumi, kas veikti iepirkumu līguma izpildes laikā, ir atzīstami par neatbilstoši veiktiem. </w:t>
            </w:r>
          </w:p>
          <w:p w14:paraId="7A54F014" w14:textId="77777777" w:rsidR="00BA3A07" w:rsidRPr="009D07C7" w:rsidRDefault="00BA3A07" w:rsidP="00BA3A07">
            <w:pPr>
              <w:jc w:val="both"/>
              <w:rPr>
                <w:sz w:val="22"/>
                <w:szCs w:val="22"/>
              </w:rPr>
            </w:pPr>
            <w:r w:rsidRPr="009D07C7">
              <w:rPr>
                <w:sz w:val="22"/>
                <w:szCs w:val="22"/>
              </w:rPr>
              <w:t>Ja konstatēts, ka krāpies ir izpildītājs, tādejādi nodrošinot sev uzvaru iepirkumā</w:t>
            </w:r>
            <w:r w:rsidR="001A07CF">
              <w:rPr>
                <w:sz w:val="22"/>
                <w:szCs w:val="22"/>
              </w:rPr>
              <w:t>,</w:t>
            </w:r>
            <w:r w:rsidRPr="009D07C7">
              <w:rPr>
                <w:sz w:val="22"/>
                <w:szCs w:val="22"/>
              </w:rPr>
              <w:t xml:space="preserve"> un ar to jau ir noslēgts iepirkuma līgums un tam veikti maksājumi, iepirkuma līguma ietvaros veiktajām izmaksām piemērojama 100% finanšu korekcija. </w:t>
            </w:r>
          </w:p>
          <w:p w14:paraId="278B201C" w14:textId="77777777" w:rsidR="00BA3A07" w:rsidRPr="009D07C7" w:rsidRDefault="00BA3A07" w:rsidP="00BA3A07">
            <w:pPr>
              <w:jc w:val="both"/>
              <w:rPr>
                <w:sz w:val="22"/>
                <w:szCs w:val="22"/>
              </w:rPr>
            </w:pPr>
          </w:p>
          <w:p w14:paraId="1F5B9AEE" w14:textId="77777777" w:rsidR="00BA3A07" w:rsidRPr="009D07C7" w:rsidRDefault="00BA3A07" w:rsidP="00BA3A07">
            <w:pPr>
              <w:jc w:val="both"/>
              <w:rPr>
                <w:sz w:val="22"/>
                <w:szCs w:val="22"/>
              </w:rPr>
            </w:pPr>
            <w:r w:rsidRPr="009D07C7">
              <w:rPr>
                <w:sz w:val="22"/>
                <w:szCs w:val="22"/>
              </w:rPr>
              <w:t xml:space="preserve">Ja krāpnieciskās darbības veiktas projekta vērtēšanas laikā un tās ietekmē lēmumu par projekta apstiprināšanu, projekta īstenošanu nepieciešams pārtraukt  un atgūt finansējumu pilnā apmērā. </w:t>
            </w:r>
          </w:p>
          <w:p w14:paraId="18535E40" w14:textId="77777777" w:rsidR="00BA3A07" w:rsidRPr="009D07C7" w:rsidRDefault="00BA3A07" w:rsidP="00BA3A07">
            <w:pPr>
              <w:jc w:val="both"/>
              <w:rPr>
                <w:sz w:val="22"/>
                <w:szCs w:val="22"/>
              </w:rPr>
            </w:pPr>
          </w:p>
          <w:p w14:paraId="51538328" w14:textId="77777777" w:rsidR="00EC54FD" w:rsidRPr="009D07C7" w:rsidRDefault="00EC54FD" w:rsidP="00E65D59">
            <w:pPr>
              <w:pStyle w:val="Default"/>
              <w:jc w:val="both"/>
              <w:rPr>
                <w:rFonts w:ascii="Times New Roman" w:hAnsi="Times New Roman" w:cs="Times New Roman"/>
                <w:sz w:val="22"/>
                <w:szCs w:val="22"/>
              </w:rPr>
            </w:pPr>
          </w:p>
          <w:p w14:paraId="0BDB816E" w14:textId="77777777" w:rsidR="00DD563F" w:rsidRPr="009D07C7" w:rsidRDefault="00DD563F" w:rsidP="00E65D59">
            <w:pPr>
              <w:rPr>
                <w:sz w:val="22"/>
                <w:szCs w:val="22"/>
              </w:rPr>
            </w:pPr>
          </w:p>
          <w:p w14:paraId="7F012203" w14:textId="77777777" w:rsidR="009B40DC" w:rsidRPr="009D07C7" w:rsidRDefault="009B40DC" w:rsidP="00E65D59">
            <w:pPr>
              <w:rPr>
                <w:sz w:val="22"/>
                <w:szCs w:val="22"/>
              </w:rPr>
            </w:pPr>
          </w:p>
        </w:tc>
        <w:tc>
          <w:tcPr>
            <w:tcW w:w="937" w:type="pct"/>
            <w:gridSpan w:val="2"/>
            <w:tcBorders>
              <w:bottom w:val="single" w:sz="4" w:space="0" w:color="auto"/>
            </w:tcBorders>
          </w:tcPr>
          <w:p w14:paraId="6982D11C" w14:textId="77777777" w:rsidR="00DD563F" w:rsidRPr="009D07C7" w:rsidRDefault="00DD563F" w:rsidP="00E65D59">
            <w:pPr>
              <w:jc w:val="center"/>
              <w:rPr>
                <w:sz w:val="22"/>
                <w:szCs w:val="22"/>
              </w:rPr>
            </w:pPr>
            <w:r w:rsidRPr="009D07C7">
              <w:rPr>
                <w:sz w:val="22"/>
                <w:szCs w:val="22"/>
              </w:rPr>
              <w:lastRenderedPageBreak/>
              <w:t>100%</w:t>
            </w:r>
          </w:p>
          <w:p w14:paraId="5A9D2179" w14:textId="77777777" w:rsidR="009B40DC" w:rsidRPr="009D07C7" w:rsidRDefault="009B40DC" w:rsidP="00E65D59">
            <w:pPr>
              <w:jc w:val="center"/>
              <w:rPr>
                <w:sz w:val="22"/>
                <w:szCs w:val="22"/>
              </w:rPr>
            </w:pPr>
          </w:p>
          <w:p w14:paraId="5919F3ED" w14:textId="77777777" w:rsidR="001D176A" w:rsidRPr="009D07C7" w:rsidRDefault="009B40DC" w:rsidP="00115806">
            <w:pPr>
              <w:jc w:val="both"/>
              <w:rPr>
                <w:sz w:val="22"/>
                <w:szCs w:val="22"/>
              </w:rPr>
            </w:pPr>
            <w:r w:rsidRPr="009D07C7">
              <w:rPr>
                <w:sz w:val="22"/>
                <w:szCs w:val="22"/>
              </w:rPr>
              <w:t>Finanšu korekciju piemēro izdevumiem, kas ir saistīti ar krāpnieciskām darbībām</w:t>
            </w:r>
            <w:r w:rsidR="00115806">
              <w:rPr>
                <w:sz w:val="22"/>
                <w:szCs w:val="22"/>
              </w:rPr>
              <w:t>,</w:t>
            </w:r>
            <w:r w:rsidRPr="009D07C7">
              <w:rPr>
                <w:sz w:val="22"/>
                <w:szCs w:val="22"/>
              </w:rPr>
              <w:t xml:space="preserve"> </w:t>
            </w:r>
            <w:r w:rsidR="00115806" w:rsidRPr="00115806">
              <w:rPr>
                <w:sz w:val="22"/>
                <w:szCs w:val="22"/>
              </w:rPr>
              <w:t xml:space="preserve">t.sk. aizdomu par krāpšanu gadījumos.  </w:t>
            </w:r>
          </w:p>
        </w:tc>
      </w:tr>
      <w:tr w:rsidR="00DD563F" w:rsidRPr="009D07C7" w14:paraId="2FDDA224" w14:textId="77777777" w:rsidTr="00E569DC">
        <w:tc>
          <w:tcPr>
            <w:tcW w:w="276" w:type="pct"/>
            <w:tcBorders>
              <w:bottom w:val="single" w:sz="4" w:space="0" w:color="auto"/>
            </w:tcBorders>
          </w:tcPr>
          <w:p w14:paraId="143A9E28" w14:textId="77777777" w:rsidR="00DD563F" w:rsidRPr="009D07C7" w:rsidRDefault="00DD563F" w:rsidP="00E65D59">
            <w:pPr>
              <w:numPr>
                <w:ilvl w:val="0"/>
                <w:numId w:val="1"/>
              </w:numPr>
              <w:rPr>
                <w:sz w:val="22"/>
                <w:szCs w:val="22"/>
              </w:rPr>
            </w:pPr>
          </w:p>
        </w:tc>
        <w:tc>
          <w:tcPr>
            <w:tcW w:w="1726" w:type="pct"/>
            <w:tcBorders>
              <w:bottom w:val="single" w:sz="4" w:space="0" w:color="auto"/>
            </w:tcBorders>
          </w:tcPr>
          <w:p w14:paraId="27D21A68" w14:textId="77777777" w:rsidR="00DD563F" w:rsidRPr="00654481" w:rsidRDefault="00DD563F" w:rsidP="00660911">
            <w:pPr>
              <w:rPr>
                <w:b/>
                <w:sz w:val="22"/>
                <w:szCs w:val="22"/>
              </w:rPr>
            </w:pPr>
            <w:r w:rsidRPr="00654481">
              <w:rPr>
                <w:b/>
                <w:sz w:val="22"/>
                <w:szCs w:val="22"/>
              </w:rPr>
              <w:t>Interešu konflikts</w:t>
            </w:r>
            <w:r w:rsidR="003C4617" w:rsidRPr="00654481">
              <w:rPr>
                <w:rStyle w:val="FootnoteReference"/>
                <w:b/>
                <w:sz w:val="22"/>
                <w:szCs w:val="22"/>
              </w:rPr>
              <w:footnoteReference w:id="6"/>
            </w:r>
          </w:p>
        </w:tc>
        <w:tc>
          <w:tcPr>
            <w:tcW w:w="2061" w:type="pct"/>
            <w:tcBorders>
              <w:bottom w:val="single" w:sz="4" w:space="0" w:color="auto"/>
            </w:tcBorders>
          </w:tcPr>
          <w:p w14:paraId="424BD243" w14:textId="77777777" w:rsidR="00387B3A" w:rsidRPr="003F0E9A" w:rsidRDefault="00C74171" w:rsidP="00634B3D">
            <w:pPr>
              <w:pStyle w:val="Text3"/>
              <w:snapToGrid w:val="0"/>
              <w:spacing w:after="0"/>
              <w:ind w:left="0"/>
              <w:rPr>
                <w:sz w:val="22"/>
                <w:szCs w:val="22"/>
                <w:lang w:val="lv-LV"/>
              </w:rPr>
            </w:pPr>
            <w:r w:rsidRPr="003F0E9A">
              <w:rPr>
                <w:sz w:val="22"/>
                <w:szCs w:val="22"/>
                <w:lang w:val="lv-LV"/>
              </w:rPr>
              <w:t xml:space="preserve">Ja projekta īstenošanas gaitā </w:t>
            </w:r>
            <w:r w:rsidR="00634B3D" w:rsidRPr="003F0E9A">
              <w:rPr>
                <w:sz w:val="22"/>
                <w:szCs w:val="22"/>
                <w:lang w:val="lv-LV"/>
              </w:rPr>
              <w:t>konstatēts interešu konflikts. Š</w:t>
            </w:r>
            <w:r w:rsidRPr="003F0E9A">
              <w:rPr>
                <w:sz w:val="22"/>
                <w:szCs w:val="22"/>
                <w:lang w:val="lv-LV"/>
              </w:rPr>
              <w:t>is pun</w:t>
            </w:r>
            <w:r w:rsidR="00634B3D" w:rsidRPr="003F0E9A">
              <w:rPr>
                <w:sz w:val="22"/>
                <w:szCs w:val="22"/>
                <w:lang w:val="lv-LV"/>
              </w:rPr>
              <w:t>kt</w:t>
            </w:r>
            <w:r w:rsidRPr="003F0E9A">
              <w:rPr>
                <w:sz w:val="22"/>
                <w:szCs w:val="22"/>
                <w:lang w:val="lv-LV"/>
              </w:rPr>
              <w:t>s a</w:t>
            </w:r>
            <w:r w:rsidR="00660911" w:rsidRPr="003F0E9A">
              <w:rPr>
                <w:sz w:val="22"/>
                <w:szCs w:val="22"/>
                <w:lang w:val="lv-LV"/>
              </w:rPr>
              <w:t>ttiecas uz tādiem interešu konflikta gadījumiem, kas nav saistīti ar iepirkumu.</w:t>
            </w:r>
          </w:p>
        </w:tc>
        <w:tc>
          <w:tcPr>
            <w:tcW w:w="937" w:type="pct"/>
            <w:gridSpan w:val="2"/>
            <w:tcBorders>
              <w:bottom w:val="single" w:sz="4" w:space="0" w:color="auto"/>
            </w:tcBorders>
          </w:tcPr>
          <w:p w14:paraId="71CE1CF1" w14:textId="77777777" w:rsidR="00054149" w:rsidRPr="00DD3495" w:rsidRDefault="00054149" w:rsidP="00E65D59">
            <w:pPr>
              <w:jc w:val="both"/>
              <w:rPr>
                <w:bCs/>
                <w:sz w:val="22"/>
                <w:szCs w:val="22"/>
              </w:rPr>
            </w:pPr>
            <w:r w:rsidRPr="00DD3495">
              <w:rPr>
                <w:b/>
                <w:bCs/>
                <w:sz w:val="22"/>
                <w:szCs w:val="22"/>
              </w:rPr>
              <w:t xml:space="preserve">100%, </w:t>
            </w:r>
            <w:r w:rsidRPr="00DD3495">
              <w:rPr>
                <w:bCs/>
                <w:sz w:val="22"/>
                <w:szCs w:val="22"/>
              </w:rPr>
              <w:t xml:space="preserve">korekcija, bet var samazināt uz 25%, 10%, 5%, 2%, atkarībā no </w:t>
            </w:r>
            <w:r w:rsidR="00660911">
              <w:rPr>
                <w:bCs/>
                <w:sz w:val="22"/>
                <w:szCs w:val="22"/>
              </w:rPr>
              <w:t xml:space="preserve">neatbilstības būtiskuma. </w:t>
            </w:r>
            <w:r w:rsidR="00387B3A" w:rsidRPr="00DD3495">
              <w:rPr>
                <w:bCs/>
                <w:sz w:val="22"/>
                <w:szCs w:val="22"/>
              </w:rPr>
              <w:t xml:space="preserve"> </w:t>
            </w:r>
          </w:p>
          <w:p w14:paraId="0B394A22" w14:textId="77777777" w:rsidR="00DD563F" w:rsidRPr="009D07C7" w:rsidRDefault="00DD563F" w:rsidP="00E65D59">
            <w:pPr>
              <w:jc w:val="both"/>
              <w:rPr>
                <w:sz w:val="22"/>
                <w:szCs w:val="22"/>
              </w:rPr>
            </w:pPr>
          </w:p>
        </w:tc>
      </w:tr>
      <w:tr w:rsidR="009F64F4" w:rsidRPr="009D07C7" w14:paraId="3349FB17" w14:textId="77777777" w:rsidTr="00E569DC">
        <w:tc>
          <w:tcPr>
            <w:tcW w:w="276" w:type="pct"/>
            <w:tcBorders>
              <w:bottom w:val="single" w:sz="4" w:space="0" w:color="auto"/>
            </w:tcBorders>
          </w:tcPr>
          <w:p w14:paraId="64A203DC" w14:textId="77777777" w:rsidR="009F64F4" w:rsidRPr="009D07C7" w:rsidRDefault="009F64F4" w:rsidP="00E65D59">
            <w:pPr>
              <w:numPr>
                <w:ilvl w:val="0"/>
                <w:numId w:val="1"/>
              </w:numPr>
              <w:rPr>
                <w:sz w:val="22"/>
                <w:szCs w:val="22"/>
              </w:rPr>
            </w:pPr>
          </w:p>
        </w:tc>
        <w:tc>
          <w:tcPr>
            <w:tcW w:w="1726" w:type="pct"/>
            <w:tcBorders>
              <w:bottom w:val="single" w:sz="4" w:space="0" w:color="auto"/>
            </w:tcBorders>
          </w:tcPr>
          <w:p w14:paraId="367B0562" w14:textId="77777777" w:rsidR="003B446B" w:rsidRPr="009D07C7" w:rsidRDefault="009F64F4" w:rsidP="00654481">
            <w:pPr>
              <w:jc w:val="both"/>
              <w:rPr>
                <w:sz w:val="22"/>
                <w:szCs w:val="22"/>
              </w:rPr>
            </w:pPr>
            <w:r w:rsidRPr="00654481">
              <w:rPr>
                <w:b/>
                <w:sz w:val="22"/>
                <w:szCs w:val="22"/>
              </w:rPr>
              <w:t xml:space="preserve">Vizuālās identitātes un publicitātes prasību neizpilde </w:t>
            </w:r>
          </w:p>
          <w:p w14:paraId="288A611C" w14:textId="77777777" w:rsidR="009F64F4" w:rsidRPr="009D07C7" w:rsidRDefault="009F64F4" w:rsidP="003C2BFB">
            <w:pPr>
              <w:numPr>
                <w:ilvl w:val="0"/>
                <w:numId w:val="11"/>
              </w:numPr>
              <w:ind w:left="0"/>
              <w:jc w:val="both"/>
              <w:rPr>
                <w:sz w:val="22"/>
                <w:szCs w:val="22"/>
              </w:rPr>
            </w:pPr>
          </w:p>
        </w:tc>
        <w:tc>
          <w:tcPr>
            <w:tcW w:w="2061" w:type="pct"/>
            <w:tcBorders>
              <w:bottom w:val="single" w:sz="4" w:space="0" w:color="auto"/>
            </w:tcBorders>
          </w:tcPr>
          <w:p w14:paraId="5FBC4736" w14:textId="77777777" w:rsidR="00595EAB" w:rsidRPr="003F0E9A" w:rsidRDefault="00595EAB" w:rsidP="00E65D59">
            <w:pPr>
              <w:pStyle w:val="Text3"/>
              <w:tabs>
                <w:tab w:val="clear" w:pos="2302"/>
                <w:tab w:val="left" w:pos="0"/>
              </w:tabs>
              <w:snapToGrid w:val="0"/>
              <w:spacing w:after="0"/>
              <w:ind w:left="0"/>
              <w:rPr>
                <w:sz w:val="22"/>
                <w:szCs w:val="22"/>
                <w:lang w:val="lv-LV"/>
              </w:rPr>
            </w:pPr>
            <w:r w:rsidRPr="003F0E9A">
              <w:rPr>
                <w:sz w:val="22"/>
                <w:szCs w:val="22"/>
                <w:lang w:val="lv-LV"/>
              </w:rPr>
              <w:t xml:space="preserve">Pārkāpumi </w:t>
            </w:r>
            <w:r w:rsidR="003F0E9A" w:rsidRPr="003F0E9A">
              <w:rPr>
                <w:sz w:val="22"/>
                <w:szCs w:val="22"/>
                <w:lang w:val="lv-LV"/>
              </w:rPr>
              <w:t xml:space="preserve">informācijas un komunikācijas </w:t>
            </w:r>
            <w:r w:rsidRPr="003F0E9A">
              <w:rPr>
                <w:sz w:val="22"/>
                <w:szCs w:val="22"/>
                <w:lang w:val="lv-LV"/>
              </w:rPr>
              <w:t>prasību izpildē  atbilstoši ES normatīvo aktu prasībām</w:t>
            </w:r>
            <w:r w:rsidRPr="003F0E9A">
              <w:rPr>
                <w:sz w:val="22"/>
                <w:szCs w:val="22"/>
                <w:vertAlign w:val="superscript"/>
                <w:lang w:val="lv-LV"/>
              </w:rPr>
              <w:footnoteReference w:id="7"/>
            </w:r>
            <w:r w:rsidRPr="003F0E9A">
              <w:rPr>
                <w:sz w:val="22"/>
                <w:szCs w:val="22"/>
                <w:lang w:val="lv-LV"/>
              </w:rPr>
              <w:t> </w:t>
            </w:r>
            <w:r w:rsidR="00AB3D99">
              <w:rPr>
                <w:sz w:val="22"/>
                <w:szCs w:val="22"/>
                <w:lang w:val="lv-LV"/>
              </w:rPr>
              <w:t>un vadošās iestādes publicitātes vadlīnijām</w:t>
            </w:r>
            <w:r w:rsidR="00AB3D99">
              <w:rPr>
                <w:rStyle w:val="FootnoteReference"/>
                <w:sz w:val="22"/>
                <w:szCs w:val="22"/>
                <w:lang w:val="lv-LV"/>
              </w:rPr>
              <w:footnoteReference w:id="8"/>
            </w:r>
            <w:r w:rsidR="00D05660">
              <w:rPr>
                <w:sz w:val="22"/>
                <w:szCs w:val="22"/>
                <w:lang w:val="lv-LV"/>
              </w:rPr>
              <w:t xml:space="preserve">, kas sniedz skaidrojumu par obligātajām </w:t>
            </w:r>
            <w:r w:rsidR="00D05660" w:rsidRPr="00D05660">
              <w:rPr>
                <w:sz w:val="22"/>
                <w:szCs w:val="22"/>
                <w:lang w:val="lv-LV"/>
              </w:rPr>
              <w:t xml:space="preserve">informācijas un komunikācijas </w:t>
            </w:r>
            <w:r w:rsidR="00D05660">
              <w:rPr>
                <w:sz w:val="22"/>
                <w:szCs w:val="22"/>
                <w:lang w:val="lv-LV"/>
              </w:rPr>
              <w:t>prasībām, kas jāievēro projekta īstenošanas laikā un pēc projekta pabeigšanas atkarībā no projekta specifikas</w:t>
            </w:r>
            <w:r w:rsidRPr="003F0E9A">
              <w:rPr>
                <w:sz w:val="22"/>
                <w:szCs w:val="22"/>
                <w:lang w:val="lv-LV"/>
              </w:rPr>
              <w:t xml:space="preserve">: </w:t>
            </w:r>
          </w:p>
          <w:p w14:paraId="5504CCDD" w14:textId="77777777" w:rsidR="00595EAB" w:rsidRPr="003F0E9A" w:rsidRDefault="00595EAB" w:rsidP="00E65D59">
            <w:pPr>
              <w:pStyle w:val="Text3"/>
              <w:tabs>
                <w:tab w:val="clear" w:pos="2302"/>
                <w:tab w:val="left" w:pos="0"/>
              </w:tabs>
              <w:snapToGrid w:val="0"/>
              <w:spacing w:after="0"/>
              <w:ind w:left="0"/>
              <w:rPr>
                <w:sz w:val="22"/>
                <w:szCs w:val="22"/>
                <w:lang w:val="lv-LV"/>
              </w:rPr>
            </w:pPr>
            <w:r w:rsidRPr="003F0E9A">
              <w:rPr>
                <w:sz w:val="22"/>
                <w:szCs w:val="22"/>
                <w:lang w:val="lv-LV"/>
              </w:rPr>
              <w:t xml:space="preserve">1. </w:t>
            </w:r>
            <w:r w:rsidR="00AB3D99">
              <w:rPr>
                <w:b/>
                <w:sz w:val="22"/>
                <w:szCs w:val="22"/>
                <w:lang w:val="lv-LV"/>
              </w:rPr>
              <w:t xml:space="preserve">informācijas un komunikācijas </w:t>
            </w:r>
            <w:r w:rsidRPr="003F0E9A">
              <w:rPr>
                <w:b/>
                <w:sz w:val="22"/>
                <w:szCs w:val="22"/>
                <w:lang w:val="lv-LV"/>
              </w:rPr>
              <w:t xml:space="preserve">prasību pārkāpumi informatīvajos materiālos (informatīvais stends, informatīvā plāksne pie objekta, plakāti, grāmata, publikācija, buklets, </w:t>
            </w:r>
            <w:r w:rsidR="003F0E9A">
              <w:rPr>
                <w:b/>
                <w:sz w:val="22"/>
                <w:szCs w:val="22"/>
                <w:lang w:val="lv-LV"/>
              </w:rPr>
              <w:t>b</w:t>
            </w:r>
            <w:r w:rsidR="005C779E" w:rsidRPr="003F0E9A">
              <w:rPr>
                <w:b/>
                <w:sz w:val="22"/>
                <w:szCs w:val="22"/>
                <w:lang w:val="lv-LV"/>
              </w:rPr>
              <w:t>rošūras</w:t>
            </w:r>
            <w:r w:rsidRPr="003F0E9A">
              <w:rPr>
                <w:b/>
                <w:sz w:val="22"/>
                <w:szCs w:val="22"/>
                <w:lang w:val="lv-LV"/>
              </w:rPr>
              <w:t xml:space="preserve"> u.c.):</w:t>
            </w:r>
            <w:r w:rsidRPr="003F0E9A">
              <w:rPr>
                <w:sz w:val="22"/>
                <w:szCs w:val="22"/>
                <w:lang w:val="lv-LV"/>
              </w:rPr>
              <w:t xml:space="preserve"> </w:t>
            </w:r>
          </w:p>
          <w:p w14:paraId="343429DB" w14:textId="77777777" w:rsidR="00595EAB" w:rsidRPr="003F0E9A" w:rsidRDefault="00595EAB" w:rsidP="00E65D59">
            <w:pPr>
              <w:pStyle w:val="Text3"/>
              <w:snapToGrid w:val="0"/>
              <w:spacing w:after="0"/>
              <w:ind w:left="0"/>
              <w:rPr>
                <w:sz w:val="22"/>
                <w:szCs w:val="22"/>
                <w:lang w:val="lv-LV"/>
              </w:rPr>
            </w:pPr>
            <w:r w:rsidRPr="003F0E9A">
              <w:rPr>
                <w:sz w:val="22"/>
                <w:szCs w:val="22"/>
                <w:lang w:val="lv-LV"/>
              </w:rPr>
              <w:t>1.</w:t>
            </w:r>
            <w:r w:rsidR="00BB6B82">
              <w:rPr>
                <w:sz w:val="22"/>
                <w:szCs w:val="22"/>
                <w:lang w:val="lv-LV"/>
              </w:rPr>
              <w:t>1</w:t>
            </w:r>
            <w:r w:rsidRPr="003F0E9A">
              <w:rPr>
                <w:sz w:val="22"/>
                <w:szCs w:val="22"/>
                <w:lang w:val="lv-LV"/>
              </w:rPr>
              <w:t>. Ja informatīvajam materiālam, stendam, plāksnei vai plakātam nav lietots ES karogs ar atsauci uz Eiropas Savienību (a), piemēro 2% finanšu korekciju</w:t>
            </w:r>
            <w:r w:rsidR="007A7E2C" w:rsidRPr="003F0E9A">
              <w:rPr>
                <w:sz w:val="22"/>
                <w:szCs w:val="22"/>
                <w:lang w:val="lv-LV"/>
              </w:rPr>
              <w:t xml:space="preserve"> </w:t>
            </w:r>
            <w:r w:rsidR="00C40666" w:rsidRPr="003F0E9A">
              <w:rPr>
                <w:sz w:val="22"/>
                <w:szCs w:val="22"/>
                <w:lang w:val="lv-LV"/>
              </w:rPr>
              <w:t>no projekta publicitātes izmaksām</w:t>
            </w:r>
            <w:r w:rsidRPr="003F0E9A">
              <w:rPr>
                <w:sz w:val="22"/>
                <w:szCs w:val="22"/>
                <w:lang w:val="lv-LV"/>
              </w:rPr>
              <w:t xml:space="preserve">. </w:t>
            </w:r>
          </w:p>
          <w:p w14:paraId="50367BCB" w14:textId="77777777" w:rsidR="00595EAB" w:rsidRPr="003F0E9A" w:rsidRDefault="00595EAB" w:rsidP="00E65D59">
            <w:pPr>
              <w:pStyle w:val="Text3"/>
              <w:snapToGrid w:val="0"/>
              <w:spacing w:after="0"/>
              <w:ind w:left="0"/>
              <w:rPr>
                <w:sz w:val="22"/>
                <w:szCs w:val="22"/>
                <w:lang w:val="lv-LV"/>
              </w:rPr>
            </w:pPr>
            <w:r w:rsidRPr="003F0E9A">
              <w:rPr>
                <w:sz w:val="22"/>
                <w:szCs w:val="22"/>
                <w:lang w:val="lv-LV"/>
              </w:rPr>
              <w:t>1.</w:t>
            </w:r>
            <w:r w:rsidR="00BB6B82">
              <w:rPr>
                <w:sz w:val="22"/>
                <w:szCs w:val="22"/>
                <w:lang w:val="lv-LV"/>
              </w:rPr>
              <w:t>2</w:t>
            </w:r>
            <w:r w:rsidRPr="003F0E9A">
              <w:rPr>
                <w:sz w:val="22"/>
                <w:szCs w:val="22"/>
                <w:lang w:val="lv-LV"/>
              </w:rPr>
              <w:t>. Informatīvais materiāls stends, plāksne vai plakāts ir uzstādīts, bet trūkst atsauce uz fondu (b) un/vai saukli (c). Šāds pārkāpums ir raksturojums kā kļūda, tomēr konkrētais pārkāpums jāizvērtē, vadoties pēc tā, vai pārkāpums ir noticis pirmo reizi vai atkārtoti:</w:t>
            </w:r>
          </w:p>
          <w:p w14:paraId="5537EE4A" w14:textId="77777777" w:rsidR="00595EAB" w:rsidRPr="003F0E9A" w:rsidRDefault="00595EAB" w:rsidP="00E65D59">
            <w:pPr>
              <w:pStyle w:val="Text3"/>
              <w:snapToGrid w:val="0"/>
              <w:spacing w:after="0"/>
              <w:ind w:left="0"/>
              <w:rPr>
                <w:sz w:val="22"/>
                <w:szCs w:val="22"/>
                <w:lang w:val="lv-LV"/>
              </w:rPr>
            </w:pPr>
            <w:r w:rsidRPr="003F0E9A">
              <w:rPr>
                <w:sz w:val="22"/>
                <w:szCs w:val="22"/>
                <w:lang w:val="lv-LV"/>
              </w:rPr>
              <w:t>1.</w:t>
            </w:r>
            <w:r w:rsidR="00BB6B82">
              <w:rPr>
                <w:sz w:val="22"/>
                <w:szCs w:val="22"/>
                <w:lang w:val="lv-LV"/>
              </w:rPr>
              <w:t>2</w:t>
            </w:r>
            <w:r w:rsidRPr="003F0E9A">
              <w:rPr>
                <w:sz w:val="22"/>
                <w:szCs w:val="22"/>
                <w:lang w:val="lv-LV"/>
              </w:rPr>
              <w:t>.1. ja pārkāpums ir noticis pirmo reizi, finanšu korekciju nepiemēro;</w:t>
            </w:r>
          </w:p>
          <w:p w14:paraId="5DBD7B07" w14:textId="77777777" w:rsidR="004516BE" w:rsidRPr="003F0E9A" w:rsidRDefault="00595EAB" w:rsidP="00E65D59">
            <w:pPr>
              <w:pStyle w:val="Text3"/>
              <w:snapToGrid w:val="0"/>
              <w:spacing w:after="0"/>
              <w:ind w:left="0"/>
              <w:rPr>
                <w:sz w:val="22"/>
                <w:szCs w:val="22"/>
                <w:lang w:val="lv-LV"/>
              </w:rPr>
            </w:pPr>
            <w:r w:rsidRPr="003F0E9A">
              <w:rPr>
                <w:sz w:val="22"/>
                <w:szCs w:val="22"/>
                <w:lang w:val="lv-LV"/>
              </w:rPr>
              <w:t>1.</w:t>
            </w:r>
            <w:r w:rsidR="00BB6B82">
              <w:rPr>
                <w:sz w:val="22"/>
                <w:szCs w:val="22"/>
                <w:lang w:val="lv-LV"/>
              </w:rPr>
              <w:t>2</w:t>
            </w:r>
            <w:r w:rsidRPr="003F0E9A">
              <w:rPr>
                <w:sz w:val="22"/>
                <w:szCs w:val="22"/>
                <w:lang w:val="lv-LV"/>
              </w:rPr>
              <w:t>.2. ja pārkāpums izdarīts atkārt</w:t>
            </w:r>
            <w:r w:rsidR="007A7E2C" w:rsidRPr="003F0E9A">
              <w:rPr>
                <w:sz w:val="22"/>
                <w:szCs w:val="22"/>
                <w:lang w:val="lv-LV"/>
              </w:rPr>
              <w:t xml:space="preserve">oti, piemēro </w:t>
            </w:r>
            <w:r w:rsidRPr="003F0E9A">
              <w:rPr>
                <w:sz w:val="22"/>
                <w:szCs w:val="22"/>
                <w:lang w:val="lv-LV"/>
              </w:rPr>
              <w:t>2% korekciju no publicitātes izmaksām (plakāta, stenda, plāksnes).</w:t>
            </w:r>
          </w:p>
          <w:p w14:paraId="492595D5" w14:textId="77777777" w:rsidR="00C40666" w:rsidRPr="003F0E9A" w:rsidRDefault="004516BE" w:rsidP="00E65D59">
            <w:pPr>
              <w:pStyle w:val="Text3"/>
              <w:tabs>
                <w:tab w:val="clear" w:pos="2302"/>
                <w:tab w:val="left" w:pos="0"/>
              </w:tabs>
              <w:snapToGrid w:val="0"/>
              <w:spacing w:after="0"/>
              <w:ind w:left="0"/>
              <w:rPr>
                <w:sz w:val="22"/>
                <w:szCs w:val="22"/>
                <w:lang w:val="lv-LV"/>
              </w:rPr>
            </w:pPr>
            <w:r w:rsidRPr="00D05660">
              <w:rPr>
                <w:sz w:val="22"/>
                <w:szCs w:val="22"/>
                <w:lang w:val="lv-LV"/>
              </w:rPr>
              <w:t xml:space="preserve">2. </w:t>
            </w:r>
            <w:r w:rsidR="00AB3D99" w:rsidRPr="00D05660">
              <w:rPr>
                <w:b/>
                <w:sz w:val="22"/>
                <w:szCs w:val="22"/>
                <w:lang w:val="lv-LV"/>
              </w:rPr>
              <w:t xml:space="preserve">informācijas un komunikācijas </w:t>
            </w:r>
            <w:r w:rsidR="00595EAB" w:rsidRPr="00D05660">
              <w:rPr>
                <w:b/>
                <w:sz w:val="22"/>
                <w:szCs w:val="22"/>
                <w:lang w:val="lv-LV"/>
              </w:rPr>
              <w:t>prasību pārkāpumi plašsaziņas līdzekļu (mediju) publikācijās</w:t>
            </w:r>
            <w:r w:rsidR="00595EAB" w:rsidRPr="003F0E9A">
              <w:rPr>
                <w:b/>
                <w:sz w:val="22"/>
                <w:szCs w:val="22"/>
                <w:lang w:val="lv-LV"/>
              </w:rPr>
              <w:t xml:space="preserve"> </w:t>
            </w:r>
          </w:p>
          <w:p w14:paraId="41F1E17F" w14:textId="77777777" w:rsidR="00595EAB" w:rsidRPr="003F0E9A" w:rsidRDefault="00595EAB" w:rsidP="00E65D59">
            <w:pPr>
              <w:pStyle w:val="Text3"/>
              <w:tabs>
                <w:tab w:val="clear" w:pos="2302"/>
                <w:tab w:val="left" w:pos="0"/>
              </w:tabs>
              <w:snapToGrid w:val="0"/>
              <w:spacing w:after="0"/>
              <w:ind w:left="0"/>
              <w:rPr>
                <w:sz w:val="22"/>
                <w:szCs w:val="22"/>
                <w:lang w:val="lv-LV"/>
              </w:rPr>
            </w:pPr>
            <w:r w:rsidRPr="003F0E9A">
              <w:rPr>
                <w:sz w:val="22"/>
                <w:szCs w:val="22"/>
                <w:lang w:val="lv-LV"/>
              </w:rPr>
              <w:t>Mediju publikācijas ir jāizvērtē, pirmkārt, ņemot vērā, vai tās ir maksas publikācijas vai projekta ietvaros uzturēto mediju attiecību rezultātā medijā publicēta informācija.</w:t>
            </w:r>
          </w:p>
          <w:p w14:paraId="7764AC29" w14:textId="77777777" w:rsidR="00595EAB" w:rsidRPr="003F0E9A" w:rsidRDefault="00595EAB" w:rsidP="003C2BFB">
            <w:pPr>
              <w:pStyle w:val="Text3"/>
              <w:numPr>
                <w:ilvl w:val="0"/>
                <w:numId w:val="12"/>
              </w:numPr>
              <w:tabs>
                <w:tab w:val="clear" w:pos="2302"/>
                <w:tab w:val="left" w:pos="35"/>
              </w:tabs>
              <w:snapToGrid w:val="0"/>
              <w:spacing w:after="0"/>
              <w:ind w:left="0"/>
              <w:rPr>
                <w:sz w:val="22"/>
                <w:szCs w:val="22"/>
                <w:lang w:val="lv-LV"/>
              </w:rPr>
            </w:pPr>
            <w:r w:rsidRPr="003F0E9A">
              <w:rPr>
                <w:sz w:val="22"/>
                <w:szCs w:val="22"/>
                <w:lang w:val="lv-LV"/>
              </w:rPr>
              <w:t xml:space="preserve">2.1. Ja mediju publikācija ir apmaksāta projekta ietvaros, tajā piemēro šī skaidrojuma </w:t>
            </w:r>
            <w:r w:rsidR="00546513" w:rsidRPr="003F0E9A">
              <w:rPr>
                <w:sz w:val="22"/>
                <w:szCs w:val="22"/>
                <w:lang w:val="lv-LV"/>
              </w:rPr>
              <w:t>1</w:t>
            </w:r>
            <w:r w:rsidRPr="003F0E9A">
              <w:rPr>
                <w:sz w:val="22"/>
                <w:szCs w:val="22"/>
                <w:lang w:val="lv-LV"/>
              </w:rPr>
              <w:t xml:space="preserve">. punktā aprakstīto pieeju. </w:t>
            </w:r>
          </w:p>
          <w:p w14:paraId="6C2D97BA" w14:textId="77777777" w:rsidR="00595EAB" w:rsidRPr="003F0E9A" w:rsidRDefault="00595EAB" w:rsidP="00D05660">
            <w:pPr>
              <w:pStyle w:val="Text3"/>
              <w:tabs>
                <w:tab w:val="clear" w:pos="2302"/>
                <w:tab w:val="left" w:pos="35"/>
              </w:tabs>
              <w:snapToGrid w:val="0"/>
              <w:spacing w:after="0"/>
              <w:ind w:left="0"/>
              <w:rPr>
                <w:sz w:val="22"/>
                <w:szCs w:val="22"/>
                <w:lang w:val="lv-LV"/>
              </w:rPr>
            </w:pPr>
            <w:r w:rsidRPr="003F0E9A">
              <w:rPr>
                <w:sz w:val="22"/>
                <w:szCs w:val="22"/>
                <w:lang w:val="lv-LV"/>
              </w:rPr>
              <w:lastRenderedPageBreak/>
              <w:t>2.2. Ja projekta ietvaros uzturēto mediju attiecību rezultātā medijā publicēt</w:t>
            </w:r>
            <w:r w:rsidR="00D05660">
              <w:rPr>
                <w:sz w:val="22"/>
                <w:szCs w:val="22"/>
                <w:lang w:val="lv-LV"/>
              </w:rPr>
              <w:t>ajā informācijā trūkst kāda no</w:t>
            </w:r>
            <w:r w:rsidRPr="003F0E9A">
              <w:rPr>
                <w:sz w:val="22"/>
                <w:szCs w:val="22"/>
                <w:lang w:val="lv-LV"/>
              </w:rPr>
              <w:t xml:space="preserve"> noteiktajām</w:t>
            </w:r>
            <w:r w:rsidR="00D05660">
              <w:t xml:space="preserve"> </w:t>
            </w:r>
            <w:r w:rsidR="00D05660" w:rsidRPr="00D05660">
              <w:rPr>
                <w:sz w:val="22"/>
                <w:szCs w:val="22"/>
                <w:lang w:val="lv-LV"/>
              </w:rPr>
              <w:t>informācijas un komunikācijas</w:t>
            </w:r>
            <w:r w:rsidRPr="003F0E9A">
              <w:rPr>
                <w:sz w:val="22"/>
                <w:szCs w:val="22"/>
                <w:lang w:val="lv-LV"/>
              </w:rPr>
              <w:t xml:space="preserve"> prasībām ((a) vai (b) vai (c)) jeb visas noteiktajās</w:t>
            </w:r>
            <w:r w:rsidR="00D05660" w:rsidRPr="00D05660">
              <w:rPr>
                <w:b/>
                <w:sz w:val="22"/>
                <w:szCs w:val="22"/>
                <w:lang w:val="lv-LV" w:eastAsia="lv-LV"/>
              </w:rPr>
              <w:t xml:space="preserve"> </w:t>
            </w:r>
            <w:r w:rsidR="00D05660" w:rsidRPr="00D05660">
              <w:rPr>
                <w:sz w:val="22"/>
                <w:szCs w:val="22"/>
                <w:lang w:val="lv-LV"/>
              </w:rPr>
              <w:t>informācijas un komunikācijas</w:t>
            </w:r>
            <w:r w:rsidRPr="003F0E9A">
              <w:rPr>
                <w:sz w:val="22"/>
                <w:szCs w:val="22"/>
                <w:lang w:val="lv-LV"/>
              </w:rPr>
              <w:t xml:space="preserve"> prasības, finanšu korekcija nav jāpiemēro. </w:t>
            </w:r>
          </w:p>
          <w:p w14:paraId="2C22BE12" w14:textId="77777777" w:rsidR="00595EAB" w:rsidRPr="003F0E9A" w:rsidRDefault="00D05660" w:rsidP="00E65D59">
            <w:pPr>
              <w:pStyle w:val="Text3"/>
              <w:tabs>
                <w:tab w:val="clear" w:pos="2302"/>
                <w:tab w:val="left" w:pos="35"/>
              </w:tabs>
              <w:snapToGrid w:val="0"/>
              <w:spacing w:after="0"/>
              <w:ind w:left="0"/>
              <w:rPr>
                <w:sz w:val="22"/>
                <w:szCs w:val="22"/>
                <w:lang w:val="lv-LV"/>
              </w:rPr>
            </w:pPr>
            <w:r w:rsidRPr="00D05660">
              <w:rPr>
                <w:sz w:val="22"/>
                <w:szCs w:val="22"/>
                <w:lang w:val="lv-LV"/>
              </w:rPr>
              <w:t>3</w:t>
            </w:r>
            <w:r w:rsidR="00595EAB" w:rsidRPr="00D05660">
              <w:rPr>
                <w:sz w:val="22"/>
                <w:szCs w:val="22"/>
                <w:lang w:val="lv-LV"/>
              </w:rPr>
              <w:t>.</w:t>
            </w:r>
            <w:r w:rsidR="00595EAB" w:rsidRPr="003F0E9A">
              <w:rPr>
                <w:b/>
                <w:sz w:val="22"/>
                <w:szCs w:val="22"/>
                <w:lang w:val="lv-LV"/>
              </w:rPr>
              <w:t xml:space="preserve"> </w:t>
            </w:r>
            <w:r w:rsidRPr="00D05660">
              <w:rPr>
                <w:b/>
                <w:sz w:val="22"/>
                <w:szCs w:val="22"/>
                <w:lang w:val="lv-LV"/>
              </w:rPr>
              <w:t xml:space="preserve">informācijas un komunikācijas </w:t>
            </w:r>
            <w:r w:rsidR="00595EAB" w:rsidRPr="003F0E9A">
              <w:rPr>
                <w:b/>
                <w:sz w:val="22"/>
                <w:szCs w:val="22"/>
                <w:lang w:val="lv-LV"/>
              </w:rPr>
              <w:t xml:space="preserve">prasību ievērošana uz nelieliem reprezentatīviem priekšmetiem. </w:t>
            </w:r>
          </w:p>
          <w:p w14:paraId="4BE289FC" w14:textId="77777777" w:rsidR="00546513" w:rsidRPr="00175729" w:rsidRDefault="00595EAB" w:rsidP="00E65D59">
            <w:pPr>
              <w:pStyle w:val="Text3"/>
              <w:snapToGrid w:val="0"/>
              <w:spacing w:after="0"/>
              <w:ind w:left="0"/>
              <w:rPr>
                <w:sz w:val="22"/>
                <w:szCs w:val="22"/>
                <w:lang w:val="lv-LV"/>
              </w:rPr>
            </w:pPr>
            <w:r w:rsidRPr="003F0E9A">
              <w:rPr>
                <w:sz w:val="22"/>
                <w:szCs w:val="22"/>
                <w:lang w:val="lv-LV"/>
              </w:rPr>
              <w:t xml:space="preserve">Saskaņā ar </w:t>
            </w:r>
            <w:r w:rsidR="00AB3D99" w:rsidRPr="00AB3D99">
              <w:rPr>
                <w:sz w:val="22"/>
                <w:szCs w:val="22"/>
                <w:lang w:val="lv-LV"/>
              </w:rPr>
              <w:t xml:space="preserve">informācijas un komunikācijas </w:t>
            </w:r>
            <w:r w:rsidR="00AB3D99">
              <w:rPr>
                <w:sz w:val="22"/>
                <w:szCs w:val="22"/>
                <w:lang w:val="lv-LV"/>
              </w:rPr>
              <w:t xml:space="preserve">prasību </w:t>
            </w:r>
            <w:r w:rsidRPr="003F0E9A">
              <w:rPr>
                <w:sz w:val="22"/>
                <w:szCs w:val="22"/>
                <w:lang w:val="lv-LV"/>
              </w:rPr>
              <w:t xml:space="preserve">noteikto atsauci uz attiecīgo ES fondu (b) un saukli „Ieguldījums tavā nākotnē” (c) nelieto uz nelieliem reprezentatīviem (reklāmas) priekšmetiem. Par nelieliem reprezentatīviem priekšmetiem tiek uzskatīti, piemēram,  atslēgu piekariņi, atmiņas kartes, zīmuļi, pildspalvas u.c. maza izmēra priekšmeti, uz kuriem nav iespējams savietot </w:t>
            </w:r>
            <w:r w:rsidR="00AB3D99" w:rsidRPr="00AB3D99">
              <w:rPr>
                <w:sz w:val="22"/>
                <w:szCs w:val="22"/>
                <w:lang w:val="lv-LV"/>
              </w:rPr>
              <w:t>informācijas un komunikācijas</w:t>
            </w:r>
            <w:r w:rsidR="00AB3D99">
              <w:rPr>
                <w:sz w:val="22"/>
                <w:szCs w:val="22"/>
                <w:lang w:val="lv-LV"/>
              </w:rPr>
              <w:t xml:space="preserve"> prasības pilnā apmērā</w:t>
            </w:r>
            <w:r w:rsidRPr="003F0E9A">
              <w:rPr>
                <w:sz w:val="22"/>
                <w:szCs w:val="22"/>
                <w:lang w:val="lv-LV"/>
              </w:rPr>
              <w:t>. Uz lielākiem reprezentatīviem priekšmetiem, kā lietussargi, krūzītes u.c</w:t>
            </w:r>
            <w:r w:rsidR="008601BE">
              <w:rPr>
                <w:sz w:val="22"/>
                <w:szCs w:val="22"/>
                <w:lang w:val="lv-LV"/>
              </w:rPr>
              <w:t>.</w:t>
            </w:r>
            <w:r w:rsidRPr="003F0E9A">
              <w:rPr>
                <w:sz w:val="22"/>
                <w:szCs w:val="22"/>
                <w:lang w:val="lv-LV"/>
              </w:rPr>
              <w:t xml:space="preserve">, ir jānodrošina visas noteiktās </w:t>
            </w:r>
            <w:r w:rsidR="00AB3D99" w:rsidRPr="00AB3D99">
              <w:rPr>
                <w:sz w:val="22"/>
                <w:szCs w:val="22"/>
                <w:lang w:val="lv-LV"/>
              </w:rPr>
              <w:t>informācijas un komunikācijas</w:t>
            </w:r>
            <w:r w:rsidRPr="003F0E9A">
              <w:rPr>
                <w:sz w:val="22"/>
                <w:szCs w:val="22"/>
                <w:lang w:val="lv-LV"/>
              </w:rPr>
              <w:t xml:space="preserve"> </w:t>
            </w:r>
            <w:r w:rsidRPr="00175729">
              <w:rPr>
                <w:sz w:val="22"/>
                <w:szCs w:val="22"/>
                <w:lang w:val="lv-LV"/>
              </w:rPr>
              <w:t>prasības (a) un (b) un (c</w:t>
            </w:r>
            <w:r w:rsidR="00A84DE7" w:rsidRPr="00175729">
              <w:rPr>
                <w:sz w:val="22"/>
                <w:szCs w:val="22"/>
                <w:lang w:val="lv-LV"/>
              </w:rPr>
              <w:t>)</w:t>
            </w:r>
            <w:r w:rsidRPr="00175729">
              <w:rPr>
                <w:sz w:val="22"/>
                <w:szCs w:val="22"/>
                <w:lang w:val="lv-LV"/>
              </w:rPr>
              <w:t>.</w:t>
            </w:r>
            <w:r w:rsidR="002763D4" w:rsidRPr="00175729">
              <w:rPr>
                <w:sz w:val="22"/>
                <w:szCs w:val="22"/>
                <w:lang w:val="lv-LV"/>
              </w:rPr>
              <w:t xml:space="preserve"> P</w:t>
            </w:r>
            <w:r w:rsidR="00A84DE7" w:rsidRPr="00175729">
              <w:rPr>
                <w:sz w:val="22"/>
                <w:szCs w:val="22"/>
                <w:lang w:val="lv-LV"/>
              </w:rPr>
              <w:t xml:space="preserve">ar pārkāpumiem piemēro 2% finanšu korekciju. </w:t>
            </w:r>
          </w:p>
          <w:p w14:paraId="4CD47365" w14:textId="77777777" w:rsidR="00546513" w:rsidRPr="003F0E9A" w:rsidRDefault="00546513" w:rsidP="00E65D59">
            <w:pPr>
              <w:pStyle w:val="Text3"/>
              <w:snapToGrid w:val="0"/>
              <w:spacing w:after="0"/>
              <w:ind w:left="0"/>
              <w:rPr>
                <w:sz w:val="22"/>
                <w:szCs w:val="22"/>
                <w:lang w:val="lv-LV"/>
              </w:rPr>
            </w:pPr>
          </w:p>
          <w:p w14:paraId="0D5BC448" w14:textId="77777777" w:rsidR="00CD5B78" w:rsidRPr="003F0E9A" w:rsidRDefault="00CD5B78" w:rsidP="00E65D59">
            <w:pPr>
              <w:pStyle w:val="Text3"/>
              <w:snapToGrid w:val="0"/>
              <w:spacing w:after="0"/>
              <w:ind w:left="0"/>
              <w:rPr>
                <w:sz w:val="22"/>
                <w:szCs w:val="22"/>
                <w:lang w:val="lv-LV"/>
              </w:rPr>
            </w:pPr>
            <w:r w:rsidRPr="003F0E9A">
              <w:rPr>
                <w:sz w:val="22"/>
                <w:szCs w:val="22"/>
                <w:lang w:val="lv-LV"/>
              </w:rPr>
              <w:t>Iespējamās rīcības :</w:t>
            </w:r>
          </w:p>
          <w:p w14:paraId="1485C8CA" w14:textId="77777777" w:rsidR="00CD5B78" w:rsidRPr="003F0E9A" w:rsidRDefault="00CD5B78" w:rsidP="00CD5B78">
            <w:pPr>
              <w:jc w:val="both"/>
              <w:rPr>
                <w:sz w:val="22"/>
                <w:szCs w:val="22"/>
              </w:rPr>
            </w:pPr>
            <w:r w:rsidRPr="003F0E9A">
              <w:rPr>
                <w:sz w:val="22"/>
                <w:szCs w:val="22"/>
              </w:rPr>
              <w:t>1.Gadījumos, ja projektā ir notikusi</w:t>
            </w:r>
            <w:r w:rsidR="002B1D30">
              <w:rPr>
                <w:sz w:val="22"/>
                <w:szCs w:val="22"/>
              </w:rPr>
              <w:t>, piemēram,</w:t>
            </w:r>
            <w:r w:rsidRPr="003F0E9A">
              <w:rPr>
                <w:sz w:val="22"/>
                <w:szCs w:val="22"/>
              </w:rPr>
              <w:t xml:space="preserve"> pārbaude</w:t>
            </w:r>
            <w:r w:rsidR="002B1D30">
              <w:rPr>
                <w:sz w:val="22"/>
                <w:szCs w:val="22"/>
              </w:rPr>
              <w:t xml:space="preserve"> projekta īstenošanas vietā</w:t>
            </w:r>
            <w:r w:rsidRPr="003F0E9A">
              <w:rPr>
                <w:sz w:val="22"/>
                <w:szCs w:val="22"/>
              </w:rPr>
              <w:t xml:space="preserve"> un tās ietvaros nav konstatēti (atklāti) pārkāpumi publicitātes normu ievērošanā un trūkumi konstatēti tikai revīzijas iestādes veiktajā projekta pārbaudē tiks piemērota proporcionālā finanšu korekcija 2% apmērā projektā attiecināmajām publicitātes izmaksām vai gadījumos, kad </w:t>
            </w:r>
            <w:r w:rsidR="001B2A24" w:rsidRPr="003F0E9A">
              <w:rPr>
                <w:sz w:val="22"/>
                <w:szCs w:val="22"/>
              </w:rPr>
              <w:t>iespējams</w:t>
            </w:r>
            <w:r w:rsidRPr="003F0E9A">
              <w:rPr>
                <w:sz w:val="22"/>
                <w:szCs w:val="22"/>
              </w:rPr>
              <w:t xml:space="preserve"> </w:t>
            </w:r>
            <w:r w:rsidR="001B2A24" w:rsidRPr="003F0E9A">
              <w:rPr>
                <w:sz w:val="22"/>
                <w:szCs w:val="22"/>
              </w:rPr>
              <w:t>noteikt</w:t>
            </w:r>
            <w:r w:rsidRPr="003F0E9A">
              <w:rPr>
                <w:sz w:val="22"/>
                <w:szCs w:val="22"/>
              </w:rPr>
              <w:t xml:space="preserve"> </w:t>
            </w:r>
            <w:r w:rsidR="000B6287" w:rsidRPr="003F0E9A">
              <w:rPr>
                <w:sz w:val="22"/>
                <w:szCs w:val="22"/>
              </w:rPr>
              <w:t xml:space="preserve">apjomu </w:t>
            </w:r>
            <w:r w:rsidRPr="003F0E9A">
              <w:rPr>
                <w:sz w:val="22"/>
                <w:szCs w:val="22"/>
              </w:rPr>
              <w:t xml:space="preserve">konkrētām publicitātes izmaksu pozīcijām. </w:t>
            </w:r>
          </w:p>
          <w:p w14:paraId="6B749D8F" w14:textId="77777777" w:rsidR="00CD5B78" w:rsidRPr="003F0E9A" w:rsidRDefault="00CD5B78" w:rsidP="00CD5B78">
            <w:pPr>
              <w:ind w:firstLine="720"/>
              <w:jc w:val="both"/>
              <w:rPr>
                <w:sz w:val="22"/>
                <w:szCs w:val="22"/>
              </w:rPr>
            </w:pPr>
          </w:p>
          <w:p w14:paraId="73CD6F48" w14:textId="77777777" w:rsidR="00CD5B78" w:rsidRPr="003F0E9A" w:rsidRDefault="00CD5B78" w:rsidP="00175729">
            <w:pPr>
              <w:pStyle w:val="Text3"/>
              <w:snapToGrid w:val="0"/>
              <w:spacing w:after="0"/>
              <w:ind w:left="0"/>
              <w:rPr>
                <w:sz w:val="22"/>
                <w:szCs w:val="22"/>
                <w:lang w:val="lv-LV"/>
              </w:rPr>
            </w:pPr>
            <w:r w:rsidRPr="003F0E9A">
              <w:rPr>
                <w:sz w:val="22"/>
                <w:szCs w:val="22"/>
                <w:lang w:val="lv-LV"/>
              </w:rPr>
              <w:t>2. Gadījumos, ja</w:t>
            </w:r>
            <w:r w:rsidR="002B1D30">
              <w:rPr>
                <w:sz w:val="22"/>
                <w:szCs w:val="22"/>
                <w:lang w:val="lv-LV"/>
              </w:rPr>
              <w:t xml:space="preserve">, piemēram, </w:t>
            </w:r>
            <w:r w:rsidR="002B1D30" w:rsidRPr="003F0E9A">
              <w:rPr>
                <w:sz w:val="22"/>
                <w:szCs w:val="22"/>
                <w:lang w:val="lv-LV"/>
              </w:rPr>
              <w:t>pārbaud</w:t>
            </w:r>
            <w:r w:rsidR="002B1D30">
              <w:rPr>
                <w:sz w:val="22"/>
                <w:szCs w:val="22"/>
                <w:lang w:val="lv-LV"/>
              </w:rPr>
              <w:t>ē projekta īstenošanas vietā</w:t>
            </w:r>
            <w:r w:rsidR="002B1D30" w:rsidRPr="003F0E9A">
              <w:rPr>
                <w:sz w:val="22"/>
                <w:szCs w:val="22"/>
                <w:lang w:val="lv-LV"/>
              </w:rPr>
              <w:t xml:space="preserve"> </w:t>
            </w:r>
            <w:r w:rsidRPr="003F0E9A">
              <w:rPr>
                <w:sz w:val="22"/>
                <w:szCs w:val="22"/>
                <w:lang w:val="lv-LV"/>
              </w:rPr>
              <w:t xml:space="preserve">ir konstatēti pārkāpumi publicitātes normu ievērošanā un ir dots termiņš trūkumu novēršanai un revīzijas, sadarbības iestāde konstatē, ka termiņš tiek kavēts, tiek piemērota proporcionālā finanšu korekcija 2% apmērā projektā attiecināmajām publicitātes </w:t>
            </w:r>
            <w:r w:rsidRPr="003F0E9A">
              <w:rPr>
                <w:sz w:val="22"/>
                <w:szCs w:val="22"/>
                <w:lang w:val="lv-LV"/>
              </w:rPr>
              <w:lastRenderedPageBreak/>
              <w:t xml:space="preserve">izmaksām vai gadījumos, kad </w:t>
            </w:r>
            <w:r w:rsidR="001B2A24" w:rsidRPr="003F0E9A">
              <w:rPr>
                <w:sz w:val="22"/>
                <w:szCs w:val="22"/>
                <w:lang w:val="lv-LV"/>
              </w:rPr>
              <w:t>iespējams</w:t>
            </w:r>
            <w:r w:rsidRPr="003F0E9A">
              <w:rPr>
                <w:sz w:val="22"/>
                <w:szCs w:val="22"/>
                <w:lang w:val="lv-LV"/>
              </w:rPr>
              <w:t xml:space="preserve"> </w:t>
            </w:r>
            <w:r w:rsidR="001B2A24" w:rsidRPr="003F0E9A">
              <w:rPr>
                <w:sz w:val="22"/>
                <w:szCs w:val="22"/>
                <w:lang w:val="lv-LV"/>
              </w:rPr>
              <w:t>noteikt</w:t>
            </w:r>
            <w:r w:rsidR="000B6287" w:rsidRPr="003F0E9A">
              <w:rPr>
                <w:sz w:val="22"/>
                <w:szCs w:val="22"/>
                <w:lang w:val="lv-LV"/>
              </w:rPr>
              <w:t xml:space="preserve"> apjomu</w:t>
            </w:r>
            <w:r w:rsidRPr="003F0E9A">
              <w:rPr>
                <w:sz w:val="22"/>
                <w:szCs w:val="22"/>
                <w:lang w:val="lv-LV"/>
              </w:rPr>
              <w:t xml:space="preserve"> konkrētām publicitātes izmaksu pozīcijām.</w:t>
            </w:r>
          </w:p>
        </w:tc>
        <w:tc>
          <w:tcPr>
            <w:tcW w:w="937" w:type="pct"/>
            <w:gridSpan w:val="2"/>
            <w:tcBorders>
              <w:bottom w:val="single" w:sz="4" w:space="0" w:color="auto"/>
            </w:tcBorders>
          </w:tcPr>
          <w:p w14:paraId="2B331292" w14:textId="77777777" w:rsidR="009F64F4" w:rsidRPr="009D07C7" w:rsidRDefault="009F64F4" w:rsidP="00E65D59">
            <w:pPr>
              <w:jc w:val="center"/>
              <w:rPr>
                <w:sz w:val="22"/>
                <w:szCs w:val="22"/>
              </w:rPr>
            </w:pPr>
            <w:r w:rsidRPr="009D07C7">
              <w:rPr>
                <w:sz w:val="22"/>
                <w:szCs w:val="22"/>
              </w:rPr>
              <w:lastRenderedPageBreak/>
              <w:t>2%</w:t>
            </w:r>
            <w:r w:rsidR="00204392" w:rsidRPr="009D07C7">
              <w:rPr>
                <w:sz w:val="22"/>
                <w:szCs w:val="22"/>
              </w:rPr>
              <w:t xml:space="preserve"> </w:t>
            </w:r>
          </w:p>
          <w:p w14:paraId="615C36CA" w14:textId="77777777" w:rsidR="00516A85" w:rsidRPr="009D07C7" w:rsidRDefault="00516A85" w:rsidP="00E65D59">
            <w:pPr>
              <w:jc w:val="center"/>
              <w:rPr>
                <w:sz w:val="22"/>
                <w:szCs w:val="22"/>
              </w:rPr>
            </w:pPr>
          </w:p>
          <w:p w14:paraId="29AED5BA" w14:textId="77777777" w:rsidR="00516A85" w:rsidRPr="009D07C7" w:rsidRDefault="00516A85" w:rsidP="00E65D59">
            <w:pPr>
              <w:jc w:val="both"/>
              <w:rPr>
                <w:sz w:val="22"/>
                <w:szCs w:val="22"/>
              </w:rPr>
            </w:pPr>
            <w:r w:rsidRPr="009D07C7">
              <w:rPr>
                <w:sz w:val="22"/>
                <w:szCs w:val="22"/>
              </w:rPr>
              <w:t>korekciju piemēro projektā attiecināmajām publicitātes izmaksām vai gadījumos, kad iespējams noteikt konkrētām publicitātes izmaksu pozīcijām</w:t>
            </w:r>
          </w:p>
        </w:tc>
      </w:tr>
      <w:tr w:rsidR="00DD563F" w:rsidRPr="009D07C7" w14:paraId="7263FD30" w14:textId="77777777" w:rsidTr="00E569DC">
        <w:tc>
          <w:tcPr>
            <w:tcW w:w="276" w:type="pct"/>
            <w:tcBorders>
              <w:bottom w:val="single" w:sz="4" w:space="0" w:color="auto"/>
            </w:tcBorders>
          </w:tcPr>
          <w:p w14:paraId="383275E0" w14:textId="77777777" w:rsidR="00DD563F" w:rsidRPr="009D07C7" w:rsidRDefault="00DD563F" w:rsidP="00E65D59">
            <w:pPr>
              <w:numPr>
                <w:ilvl w:val="0"/>
                <w:numId w:val="1"/>
              </w:numPr>
              <w:rPr>
                <w:sz w:val="22"/>
                <w:szCs w:val="22"/>
              </w:rPr>
            </w:pPr>
          </w:p>
        </w:tc>
        <w:tc>
          <w:tcPr>
            <w:tcW w:w="1726" w:type="pct"/>
            <w:tcBorders>
              <w:bottom w:val="single" w:sz="4" w:space="0" w:color="auto"/>
            </w:tcBorders>
          </w:tcPr>
          <w:p w14:paraId="02E0E806" w14:textId="77777777" w:rsidR="00DD563F" w:rsidRPr="00654481" w:rsidRDefault="00DD563F" w:rsidP="00C91BD3">
            <w:pPr>
              <w:jc w:val="both"/>
              <w:rPr>
                <w:b/>
                <w:sz w:val="22"/>
                <w:szCs w:val="22"/>
              </w:rPr>
            </w:pPr>
            <w:r w:rsidRPr="00654481">
              <w:rPr>
                <w:b/>
                <w:sz w:val="22"/>
                <w:szCs w:val="22"/>
              </w:rPr>
              <w:t>Nav ievērotas vispārīgās Latvijas Republikas un Eiropas Savienības normatīvo aktu prasības attiecīgajā jomā</w:t>
            </w:r>
          </w:p>
        </w:tc>
        <w:tc>
          <w:tcPr>
            <w:tcW w:w="2061" w:type="pct"/>
            <w:tcBorders>
              <w:bottom w:val="single" w:sz="4" w:space="0" w:color="auto"/>
            </w:tcBorders>
          </w:tcPr>
          <w:p w14:paraId="0931D2E6" w14:textId="77777777" w:rsidR="00DD563F" w:rsidRPr="00654481" w:rsidRDefault="00DD563F" w:rsidP="00E65D59">
            <w:pPr>
              <w:pStyle w:val="Text3"/>
              <w:snapToGrid w:val="0"/>
              <w:spacing w:after="0"/>
              <w:ind w:left="0"/>
              <w:rPr>
                <w:sz w:val="22"/>
                <w:szCs w:val="22"/>
                <w:lang w:val="lv-LV"/>
              </w:rPr>
            </w:pPr>
            <w:r w:rsidRPr="00654481">
              <w:rPr>
                <w:sz w:val="22"/>
                <w:szCs w:val="22"/>
                <w:lang w:val="lv-LV"/>
              </w:rPr>
              <w:t>Normatīvo aktu pārkāpumi grāmatvedības, nodokļu, kā arī citu jomu normatīvo aktu pārkāpumi (izņemot iepirkuma jomā, kas tiek atsevišķi atrun</w:t>
            </w:r>
            <w:r w:rsidR="00EB321D" w:rsidRPr="00654481">
              <w:rPr>
                <w:sz w:val="22"/>
                <w:szCs w:val="22"/>
                <w:lang w:val="lv-LV"/>
              </w:rPr>
              <w:t>āta šajās vadlīnijās, kā arī citus</w:t>
            </w:r>
            <w:r w:rsidRPr="00654481">
              <w:rPr>
                <w:sz w:val="22"/>
                <w:szCs w:val="22"/>
                <w:lang w:val="lv-LV"/>
              </w:rPr>
              <w:t xml:space="preserve"> pārkāpumus, kas tiek atrunāti šajās vadlīnijās).</w:t>
            </w:r>
          </w:p>
          <w:p w14:paraId="5774752E" w14:textId="77777777" w:rsidR="004516BE" w:rsidRPr="009D07C7" w:rsidRDefault="004516BE" w:rsidP="00E65D59">
            <w:pPr>
              <w:pStyle w:val="Text3"/>
              <w:snapToGrid w:val="0"/>
              <w:spacing w:after="0"/>
              <w:ind w:left="0"/>
              <w:rPr>
                <w:sz w:val="22"/>
                <w:szCs w:val="22"/>
              </w:rPr>
            </w:pPr>
          </w:p>
          <w:p w14:paraId="29C05C51" w14:textId="43F68FCB" w:rsidR="004516BE" w:rsidRPr="009D07C7" w:rsidRDefault="004516BE" w:rsidP="00E65D59">
            <w:pPr>
              <w:jc w:val="both"/>
              <w:rPr>
                <w:sz w:val="22"/>
                <w:szCs w:val="22"/>
              </w:rPr>
            </w:pPr>
            <w:r w:rsidRPr="009D07C7">
              <w:rPr>
                <w:sz w:val="22"/>
                <w:szCs w:val="22"/>
              </w:rPr>
              <w:t xml:space="preserve">Finanšu korekciju var piemērot arī gadījumos, ja, īstenojot projektu tiek pārkāpts / netiek ievērots tas, kas noteikts iestādes (finansējuma saņēmēja) iekšējā normatīvā aktā - gadījumos, kad finansējuma saņēmējs ir valsts pārvaldes iestāde. </w:t>
            </w:r>
            <w:r w:rsidR="00A4162B" w:rsidRPr="009D07C7">
              <w:rPr>
                <w:sz w:val="22"/>
                <w:szCs w:val="22"/>
              </w:rPr>
              <w:t>I</w:t>
            </w:r>
            <w:r w:rsidRPr="009D07C7">
              <w:rPr>
                <w:sz w:val="22"/>
                <w:szCs w:val="22"/>
              </w:rPr>
              <w:t>ekšējo normatīvo aktu būtība ir skaidrot ārējā normatīvā akta piemērošanu u.c</w:t>
            </w:r>
            <w:r w:rsidR="00F55E89">
              <w:rPr>
                <w:sz w:val="22"/>
                <w:szCs w:val="22"/>
              </w:rPr>
              <w:t>.</w:t>
            </w:r>
            <w:r w:rsidRPr="009D07C7">
              <w:rPr>
                <w:sz w:val="22"/>
                <w:szCs w:val="22"/>
              </w:rPr>
              <w:t xml:space="preserve"> jautājumus. Proporcionālo finanšu korekciju varētu piemērot gadījumos, kad ārējā normatīvā aktā nav detalizēti atrunāts konkrēts ievērojamais kritērijs un vienīgais skaidrojums ir iekļauts iekšējā normatīvajā aktā. </w:t>
            </w:r>
            <w:r w:rsidR="001C2833" w:rsidRPr="009D07C7">
              <w:rPr>
                <w:sz w:val="22"/>
                <w:szCs w:val="22"/>
              </w:rPr>
              <w:t xml:space="preserve"> Gadījumos, kad</w:t>
            </w:r>
            <w:r w:rsidR="00B24DC9" w:rsidRPr="009D07C7">
              <w:rPr>
                <w:sz w:val="22"/>
                <w:szCs w:val="22"/>
              </w:rPr>
              <w:t xml:space="preserve"> pārkāpums konstatēts, jo </w:t>
            </w:r>
            <w:r w:rsidR="001C2833" w:rsidRPr="009D07C7">
              <w:rPr>
                <w:sz w:val="22"/>
                <w:szCs w:val="22"/>
              </w:rPr>
              <w:t xml:space="preserve"> iekšējais normatīvais akts ir pretrunā ar ārējo normatīvo aktu, tiek piemērota finanšu korekcija. </w:t>
            </w:r>
          </w:p>
          <w:p w14:paraId="53A24838" w14:textId="77777777" w:rsidR="004516BE" w:rsidRPr="009D07C7" w:rsidRDefault="004516BE" w:rsidP="00E65D59">
            <w:pPr>
              <w:jc w:val="both"/>
              <w:rPr>
                <w:sz w:val="22"/>
                <w:szCs w:val="22"/>
              </w:rPr>
            </w:pPr>
          </w:p>
          <w:p w14:paraId="13B98069" w14:textId="77777777" w:rsidR="0073549C" w:rsidRPr="009D07C7" w:rsidRDefault="00AD6F9A" w:rsidP="00E65D59">
            <w:pPr>
              <w:pStyle w:val="Text3"/>
              <w:snapToGrid w:val="0"/>
              <w:spacing w:after="0"/>
              <w:ind w:left="0"/>
              <w:rPr>
                <w:sz w:val="22"/>
                <w:szCs w:val="22"/>
                <w:lang w:val="lv-LV"/>
              </w:rPr>
            </w:pPr>
            <w:r w:rsidRPr="009D07C7">
              <w:rPr>
                <w:sz w:val="22"/>
                <w:szCs w:val="22"/>
                <w:lang w:val="lv-LV"/>
              </w:rPr>
              <w:t xml:space="preserve">Piemēram, tiek </w:t>
            </w:r>
            <w:r w:rsidR="00B32540" w:rsidRPr="009D07C7">
              <w:rPr>
                <w:sz w:val="22"/>
                <w:szCs w:val="22"/>
                <w:lang w:val="lv-LV"/>
              </w:rPr>
              <w:t xml:space="preserve">konstatēts, ka netiek ievēroti vispārīgi </w:t>
            </w:r>
            <w:r w:rsidR="00623DD4">
              <w:rPr>
                <w:sz w:val="22"/>
                <w:szCs w:val="22"/>
                <w:lang w:val="lv-LV"/>
              </w:rPr>
              <w:t>LV</w:t>
            </w:r>
            <w:r w:rsidR="00B32540" w:rsidRPr="009D07C7">
              <w:rPr>
                <w:sz w:val="22"/>
                <w:szCs w:val="22"/>
                <w:lang w:val="lv-LV"/>
              </w:rPr>
              <w:t xml:space="preserve"> normatīvie akti</w:t>
            </w:r>
            <w:r w:rsidRPr="009D07C7">
              <w:rPr>
                <w:sz w:val="22"/>
                <w:szCs w:val="22"/>
                <w:lang w:val="lv-LV"/>
              </w:rPr>
              <w:t xml:space="preserve"> būvniecības jomā, kuri nosaka, ka</w:t>
            </w:r>
            <w:r w:rsidR="00A4162B" w:rsidRPr="009D07C7">
              <w:rPr>
                <w:sz w:val="22"/>
                <w:szCs w:val="22"/>
                <w:lang w:val="lv-LV"/>
              </w:rPr>
              <w:t>,</w:t>
            </w:r>
            <w:r w:rsidRPr="009D07C7">
              <w:rPr>
                <w:sz w:val="22"/>
                <w:szCs w:val="22"/>
                <w:lang w:val="lv-LV"/>
              </w:rPr>
              <w:t xml:space="preserve"> veicot ē</w:t>
            </w:r>
            <w:r w:rsidR="00B302B3" w:rsidRPr="009D07C7">
              <w:rPr>
                <w:sz w:val="22"/>
                <w:szCs w:val="22"/>
                <w:lang w:val="lv-LV"/>
              </w:rPr>
              <w:t>k</w:t>
            </w:r>
            <w:r w:rsidRPr="009D07C7">
              <w:rPr>
                <w:sz w:val="22"/>
                <w:szCs w:val="22"/>
                <w:lang w:val="lv-LV"/>
              </w:rPr>
              <w:t>u ārējo sienu apmesto fasāžu projektu risinājumus</w:t>
            </w:r>
            <w:r w:rsidR="00A4162B" w:rsidRPr="009D07C7">
              <w:rPr>
                <w:sz w:val="22"/>
                <w:szCs w:val="22"/>
                <w:lang w:val="lv-LV"/>
              </w:rPr>
              <w:t>,</w:t>
            </w:r>
            <w:r w:rsidRPr="009D07C7">
              <w:rPr>
                <w:sz w:val="22"/>
                <w:szCs w:val="22"/>
                <w:lang w:val="lv-LV"/>
              </w:rPr>
              <w:t xml:space="preserve"> tie jāizstrādā atbilstoši Eiropas tehniskajiem apstiprinājumiem. Attiecīgi izvērtējot pārkāpuma būtiskumu – vai ieviestie risinājumi ir pielīdzināmi normatīvos aktos noteiktajam un tos iespējams sertificēt</w:t>
            </w:r>
            <w:r w:rsidR="00A4162B" w:rsidRPr="009D07C7">
              <w:rPr>
                <w:sz w:val="22"/>
                <w:szCs w:val="22"/>
                <w:lang w:val="lv-LV"/>
              </w:rPr>
              <w:t>,</w:t>
            </w:r>
            <w:r w:rsidRPr="009D07C7">
              <w:rPr>
                <w:sz w:val="22"/>
                <w:szCs w:val="22"/>
                <w:lang w:val="lv-LV"/>
              </w:rPr>
              <w:t xml:space="preserve"> var piemērot samazinātu proporcionālas finanšu korekcijas likmi. </w:t>
            </w:r>
          </w:p>
          <w:p w14:paraId="4E7FFD7B" w14:textId="77777777" w:rsidR="00A4162B" w:rsidRPr="009D07C7" w:rsidRDefault="00A4162B" w:rsidP="00E65D59">
            <w:pPr>
              <w:pStyle w:val="Text3"/>
              <w:snapToGrid w:val="0"/>
              <w:spacing w:after="0"/>
              <w:ind w:left="0"/>
              <w:rPr>
                <w:sz w:val="22"/>
                <w:szCs w:val="22"/>
              </w:rPr>
            </w:pPr>
          </w:p>
          <w:p w14:paraId="1F2C4083" w14:textId="77777777" w:rsidR="003D0909" w:rsidRPr="00654481" w:rsidRDefault="00687011" w:rsidP="00E65D59">
            <w:pPr>
              <w:pStyle w:val="Text3"/>
              <w:snapToGrid w:val="0"/>
              <w:spacing w:after="0"/>
              <w:ind w:left="0"/>
              <w:rPr>
                <w:sz w:val="22"/>
                <w:szCs w:val="22"/>
                <w:lang w:val="lv-LV"/>
              </w:rPr>
            </w:pPr>
            <w:r w:rsidRPr="00654481">
              <w:rPr>
                <w:sz w:val="22"/>
                <w:szCs w:val="22"/>
                <w:lang w:val="lv-LV"/>
              </w:rPr>
              <w:t>Aizbraucot uz i</w:t>
            </w:r>
            <w:r w:rsidR="00AA06F3" w:rsidRPr="00654481">
              <w:rPr>
                <w:sz w:val="22"/>
                <w:szCs w:val="22"/>
                <w:lang w:val="lv-LV"/>
              </w:rPr>
              <w:t>e</w:t>
            </w:r>
            <w:r w:rsidRPr="00654481">
              <w:rPr>
                <w:sz w:val="22"/>
                <w:szCs w:val="22"/>
                <w:lang w:val="lv-LV"/>
              </w:rPr>
              <w:t>stādi, finansējuma saņēmējs, prezentējot zīmolu, kas aptver vairāku uzņēmumu, t.sk. finansējuma saņēmēja sniegtos komercpakalpojumus, ir izmantojis vecos informatīvos materiālus, kur bija ietverta informācija arī par citiem uzņēmumiem. Tādējādi projekta ietvaros netiešu atbalstu ir guvuši komersanti, kas projektā nav piedalījušies. Finansējuma saņēm</w:t>
            </w:r>
            <w:r w:rsidR="003B1A4F">
              <w:rPr>
                <w:sz w:val="22"/>
                <w:szCs w:val="22"/>
                <w:lang w:val="lv-LV"/>
              </w:rPr>
              <w:t>ē</w:t>
            </w:r>
            <w:r w:rsidRPr="00654481">
              <w:rPr>
                <w:sz w:val="22"/>
                <w:szCs w:val="22"/>
                <w:lang w:val="lv-LV"/>
              </w:rPr>
              <w:t xml:space="preserve">js paskaidrojis, ka to, ka materiāli ir veci, konstatējis, tikai aizbraucot </w:t>
            </w:r>
            <w:r w:rsidRPr="00654481">
              <w:rPr>
                <w:sz w:val="22"/>
                <w:szCs w:val="22"/>
                <w:lang w:val="lv-LV"/>
              </w:rPr>
              <w:lastRenderedPageBreak/>
              <w:t>uz izstādi, tādēļ izmantoja tādus, kas bija pieejami. Minētais tika klasificēts kā projekta nekvalitatīva īstenošana, par ko izmaksātajam atbalstam tika piemērota korekcija 10% apmērā</w:t>
            </w:r>
            <w:r w:rsidR="003D0909" w:rsidRPr="00654481">
              <w:rPr>
                <w:sz w:val="22"/>
                <w:szCs w:val="22"/>
                <w:lang w:val="lv-LV"/>
              </w:rPr>
              <w:t xml:space="preserve"> </w:t>
            </w:r>
          </w:p>
          <w:p w14:paraId="7FB3997C" w14:textId="77777777" w:rsidR="003D0909" w:rsidRPr="00654481" w:rsidRDefault="003D0909" w:rsidP="00E65D59">
            <w:pPr>
              <w:pStyle w:val="Text3"/>
              <w:snapToGrid w:val="0"/>
              <w:spacing w:after="0"/>
              <w:ind w:left="0"/>
              <w:rPr>
                <w:sz w:val="22"/>
                <w:szCs w:val="22"/>
                <w:lang w:val="lv-LV"/>
              </w:rPr>
            </w:pPr>
          </w:p>
          <w:p w14:paraId="28141738" w14:textId="77777777" w:rsidR="00B302B3" w:rsidRPr="009D07C7" w:rsidRDefault="003D0909" w:rsidP="00E65D59">
            <w:pPr>
              <w:pStyle w:val="Text3"/>
              <w:snapToGrid w:val="0"/>
              <w:spacing w:after="0"/>
              <w:ind w:left="0"/>
              <w:rPr>
                <w:sz w:val="22"/>
                <w:szCs w:val="22"/>
              </w:rPr>
            </w:pPr>
            <w:r w:rsidRPr="00654481">
              <w:rPr>
                <w:sz w:val="22"/>
                <w:szCs w:val="22"/>
                <w:lang w:val="lv-LV"/>
              </w:rPr>
              <w:t xml:space="preserve">Finansējuma saņēmējs, aizbraucot uz izstādi, līgumus par dalību izstādē, t.sk. par stenda nomu un informācijas ievietošanu katalogā, ir noslēdzis ar starpnieku, kā rezultātā nevarēja iesniegt dokumentāciju, kas pamatotu projekta tiešās izmaksas (bez starpniecības). Padziļināti izpētot informāciju publiskajā telpā, tika konstatēts, ka finansējuma saņēmējs ir izstādes dalībnieku sarakstā, kā arī bija iesniegts izstādes tiešā organizatora apliecinājums par </w:t>
            </w:r>
            <w:r w:rsidR="000F4391">
              <w:rPr>
                <w:sz w:val="22"/>
                <w:szCs w:val="22"/>
                <w:lang w:val="lv-LV"/>
              </w:rPr>
              <w:t>FS</w:t>
            </w:r>
            <w:r w:rsidRPr="00654481">
              <w:rPr>
                <w:sz w:val="22"/>
                <w:szCs w:val="22"/>
                <w:lang w:val="lv-LV"/>
              </w:rPr>
              <w:t xml:space="preserve"> dalību izstādē. SI konstatēja, ka cita projekta ietvaros, kur </w:t>
            </w:r>
            <w:r w:rsidR="000F4391">
              <w:rPr>
                <w:sz w:val="22"/>
                <w:szCs w:val="22"/>
                <w:lang w:val="lv-LV"/>
              </w:rPr>
              <w:t>FS</w:t>
            </w:r>
            <w:r w:rsidRPr="00654481">
              <w:rPr>
                <w:sz w:val="22"/>
                <w:szCs w:val="22"/>
                <w:lang w:val="lv-LV"/>
              </w:rPr>
              <w:t xml:space="preserve"> piedalījās tajā pašā izstādē, attiecīgie līgumi ir noslēgti ar izstādes tiešo organizatoru. Tā kā minētie līgumi (faktiski pieteikumi dalībai izstādē) bija standartizēti, tad SI, salīdzinot izmaksu pozīcijas, samazināja izmaksājamo atbalsta finansējumu atbilstoši izstādes organizatora noteiktajai standarta likmei, starpību uzskatot par nepamatotu sadārdzinājumu. Savukārt gadījumos, kad šādus dokumentus </w:t>
            </w:r>
            <w:r w:rsidR="000F4391">
              <w:rPr>
                <w:sz w:val="22"/>
                <w:szCs w:val="22"/>
                <w:lang w:val="lv-LV"/>
              </w:rPr>
              <w:t>FS</w:t>
            </w:r>
            <w:r w:rsidRPr="00654481">
              <w:rPr>
                <w:sz w:val="22"/>
                <w:szCs w:val="22"/>
                <w:lang w:val="lv-LV"/>
              </w:rPr>
              <w:t xml:space="preserve"> nevar iesniegt un arī SI rīcībā nav pieejama droša un ticama informācija par izstāžu organizatoru noteiktajām likmēm, </w:t>
            </w:r>
            <w:r w:rsidR="00300756" w:rsidRPr="00654481">
              <w:rPr>
                <w:sz w:val="22"/>
                <w:szCs w:val="22"/>
                <w:lang w:val="lv-LV"/>
              </w:rPr>
              <w:t>ja iespēja</w:t>
            </w:r>
            <w:r w:rsidR="00383910">
              <w:rPr>
                <w:sz w:val="22"/>
                <w:szCs w:val="22"/>
                <w:lang w:val="lv-LV"/>
              </w:rPr>
              <w:t>ms</w:t>
            </w:r>
            <w:r w:rsidR="00300756" w:rsidRPr="00654481">
              <w:rPr>
                <w:sz w:val="22"/>
                <w:szCs w:val="22"/>
                <w:lang w:val="lv-LV"/>
              </w:rPr>
              <w:t xml:space="preserve"> noteikt, </w:t>
            </w:r>
            <w:r w:rsidRPr="00654481">
              <w:rPr>
                <w:sz w:val="22"/>
                <w:szCs w:val="22"/>
                <w:lang w:val="lv-LV"/>
              </w:rPr>
              <w:t xml:space="preserve">tad SI pilnībā neattiecina </w:t>
            </w:r>
            <w:r w:rsidR="00300756" w:rsidRPr="00654481">
              <w:rPr>
                <w:sz w:val="22"/>
                <w:szCs w:val="22"/>
                <w:lang w:val="lv-LV"/>
              </w:rPr>
              <w:t xml:space="preserve">konkrētas </w:t>
            </w:r>
            <w:r w:rsidRPr="00654481">
              <w:rPr>
                <w:sz w:val="22"/>
                <w:szCs w:val="22"/>
                <w:lang w:val="lv-LV"/>
              </w:rPr>
              <w:t>pozīcijas, kurās izmaksas ir veiktas caur starpniekiem</w:t>
            </w:r>
            <w:r w:rsidR="001C2833" w:rsidRPr="00654481">
              <w:rPr>
                <w:sz w:val="22"/>
                <w:szCs w:val="22"/>
                <w:lang w:val="lv-LV"/>
              </w:rPr>
              <w:t xml:space="preserve"> </w:t>
            </w:r>
            <w:r w:rsidRPr="00654481">
              <w:rPr>
                <w:sz w:val="22"/>
                <w:szCs w:val="22"/>
                <w:lang w:val="lv-LV"/>
              </w:rPr>
              <w:t>.</w:t>
            </w:r>
          </w:p>
          <w:p w14:paraId="25CB8BD9" w14:textId="77777777" w:rsidR="003D0909" w:rsidRPr="009D07C7" w:rsidRDefault="003D0909" w:rsidP="00E65D59">
            <w:pPr>
              <w:pStyle w:val="Text3"/>
              <w:snapToGrid w:val="0"/>
              <w:spacing w:after="0"/>
              <w:ind w:left="0"/>
              <w:rPr>
                <w:sz w:val="22"/>
                <w:szCs w:val="22"/>
              </w:rPr>
            </w:pPr>
          </w:p>
          <w:p w14:paraId="0CC0C8C5" w14:textId="77777777" w:rsidR="003D0909" w:rsidRPr="009D07C7" w:rsidRDefault="003D0909" w:rsidP="00E65D59">
            <w:pPr>
              <w:pStyle w:val="Text3"/>
              <w:snapToGrid w:val="0"/>
              <w:spacing w:after="0"/>
              <w:ind w:left="0"/>
              <w:rPr>
                <w:iCs/>
                <w:sz w:val="22"/>
                <w:szCs w:val="22"/>
                <w:lang w:val="lv-LV"/>
              </w:rPr>
            </w:pPr>
            <w:r w:rsidRPr="009D07C7">
              <w:rPr>
                <w:iCs/>
                <w:sz w:val="22"/>
                <w:szCs w:val="22"/>
                <w:lang w:val="lv-LV"/>
              </w:rPr>
              <w:t xml:space="preserve">b) </w:t>
            </w:r>
            <w:r w:rsidR="00AA06F3" w:rsidRPr="009D07C7">
              <w:rPr>
                <w:iCs/>
                <w:sz w:val="22"/>
                <w:szCs w:val="22"/>
                <w:lang w:val="lv-LV"/>
              </w:rPr>
              <w:t>Ja FS nav ievērojis MK noteikumos Nr.</w:t>
            </w:r>
            <w:r w:rsidR="000F4391">
              <w:rPr>
                <w:iCs/>
                <w:sz w:val="22"/>
                <w:szCs w:val="22"/>
                <w:lang w:val="lv-LV"/>
              </w:rPr>
              <w:t>77</w:t>
            </w:r>
            <w:r w:rsidR="000F4391">
              <w:rPr>
                <w:rStyle w:val="FootnoteReference"/>
                <w:iCs/>
                <w:sz w:val="22"/>
                <w:szCs w:val="22"/>
                <w:lang w:val="lv-LV"/>
              </w:rPr>
              <w:footnoteReference w:id="9"/>
            </w:r>
            <w:r w:rsidR="00AA06F3" w:rsidRPr="009D07C7">
              <w:rPr>
                <w:iCs/>
                <w:sz w:val="22"/>
                <w:szCs w:val="22"/>
                <w:lang w:val="lv-LV"/>
              </w:rPr>
              <w:t xml:space="preserve"> noteiktās prasības attiecībā uz iepirkuma plāna iesniegšanas termiņu, SI </w:t>
            </w:r>
            <w:r w:rsidR="00A4162B" w:rsidRPr="009D07C7">
              <w:rPr>
                <w:iCs/>
                <w:sz w:val="22"/>
                <w:szCs w:val="22"/>
                <w:lang w:val="lv-LV"/>
              </w:rPr>
              <w:t>jā</w:t>
            </w:r>
            <w:r w:rsidR="00AA06F3" w:rsidRPr="009D07C7">
              <w:rPr>
                <w:iCs/>
                <w:sz w:val="22"/>
                <w:szCs w:val="22"/>
                <w:lang w:val="lv-LV"/>
              </w:rPr>
              <w:t>brīdin</w:t>
            </w:r>
            <w:r w:rsidR="00A4162B" w:rsidRPr="009D07C7">
              <w:rPr>
                <w:iCs/>
                <w:sz w:val="22"/>
                <w:szCs w:val="22"/>
                <w:lang w:val="lv-LV"/>
              </w:rPr>
              <w:t>a</w:t>
            </w:r>
            <w:r w:rsidR="00AA06F3" w:rsidRPr="009D07C7">
              <w:rPr>
                <w:iCs/>
                <w:sz w:val="22"/>
                <w:szCs w:val="22"/>
                <w:lang w:val="lv-LV"/>
              </w:rPr>
              <w:t xml:space="preserve"> FS par nepieciešamību iesniegt </w:t>
            </w:r>
            <w:r w:rsidR="00011145" w:rsidRPr="009D07C7">
              <w:rPr>
                <w:iCs/>
                <w:sz w:val="22"/>
                <w:szCs w:val="22"/>
                <w:lang w:val="lv-LV"/>
              </w:rPr>
              <w:t>iepirkuma</w:t>
            </w:r>
            <w:r w:rsidR="00D268E8" w:rsidRPr="009D07C7">
              <w:rPr>
                <w:iCs/>
                <w:sz w:val="22"/>
                <w:szCs w:val="22"/>
                <w:lang w:val="lv-LV"/>
              </w:rPr>
              <w:t xml:space="preserve"> </w:t>
            </w:r>
            <w:r w:rsidR="00AA06F3" w:rsidRPr="009D07C7">
              <w:rPr>
                <w:iCs/>
                <w:sz w:val="22"/>
                <w:szCs w:val="22"/>
                <w:lang w:val="lv-LV"/>
              </w:rPr>
              <w:t xml:space="preserve">plānu un noteikt termiņu, kādā tas ir izdarāms. Ja FS SI noteiktajā termiņā plānu neiesniedz, tad </w:t>
            </w:r>
            <w:r w:rsidR="00950C8C">
              <w:rPr>
                <w:iCs/>
                <w:sz w:val="22"/>
                <w:szCs w:val="22"/>
                <w:lang w:val="lv-LV"/>
              </w:rPr>
              <w:t xml:space="preserve">var </w:t>
            </w:r>
            <w:r w:rsidR="00AA06F3" w:rsidRPr="009D07C7">
              <w:rPr>
                <w:iCs/>
                <w:sz w:val="22"/>
                <w:szCs w:val="22"/>
                <w:lang w:val="lv-LV"/>
              </w:rPr>
              <w:t xml:space="preserve">piemērot finanšu korekciju </w:t>
            </w:r>
            <w:r w:rsidR="00375206" w:rsidRPr="009D07C7">
              <w:rPr>
                <w:iCs/>
                <w:sz w:val="22"/>
                <w:szCs w:val="22"/>
                <w:lang w:val="lv-LV"/>
              </w:rPr>
              <w:t>2% apmērā no projekta attiecināmajām izmaksām</w:t>
            </w:r>
            <w:r w:rsidR="00AA06F3" w:rsidRPr="009D07C7">
              <w:rPr>
                <w:iCs/>
                <w:sz w:val="22"/>
                <w:szCs w:val="22"/>
                <w:lang w:val="lv-LV"/>
              </w:rPr>
              <w:t xml:space="preserve">. Ja ir noslēgts civiltiesiskais līgums ar FS par projekta īstenošanu, tad iepirkuma plāna neiesniegšanas gadījumā var piemērot arī līgumsodu, attiecīgi koriģējot projekta </w:t>
            </w:r>
            <w:r w:rsidR="00AA06F3" w:rsidRPr="009D07C7">
              <w:rPr>
                <w:iCs/>
                <w:sz w:val="22"/>
                <w:szCs w:val="22"/>
                <w:lang w:val="lv-LV"/>
              </w:rPr>
              <w:lastRenderedPageBreak/>
              <w:t xml:space="preserve">attiecināmās izmaksas līgumsoda apmērā. Ja FS tomēr neiesniedz iepirkuma plānu vai atkārtoti pārkāpj noteiktās prasības attiecībā uz iepirkuma plāniem vai citos nepieciešamos gadījumos, piemēram, nepilda līguma vai vienošanās nosacījumus, SI var izskatīt lauzt līgumu ar FS. </w:t>
            </w:r>
            <w:r w:rsidR="004E23D0" w:rsidRPr="009D07C7">
              <w:rPr>
                <w:iCs/>
                <w:sz w:val="22"/>
                <w:szCs w:val="22"/>
                <w:lang w:val="lv-LV"/>
              </w:rPr>
              <w:t xml:space="preserve">Konkrētais piemērs var tikt attiecināts arī uz cita </w:t>
            </w:r>
            <w:r w:rsidR="001A07CF" w:rsidRPr="009D07C7">
              <w:rPr>
                <w:iCs/>
                <w:sz w:val="22"/>
                <w:szCs w:val="22"/>
                <w:lang w:val="lv-LV"/>
              </w:rPr>
              <w:t>v</w:t>
            </w:r>
            <w:r w:rsidR="001A07CF">
              <w:rPr>
                <w:iCs/>
                <w:sz w:val="22"/>
                <w:szCs w:val="22"/>
                <w:lang w:val="lv-LV"/>
              </w:rPr>
              <w:t>ei</w:t>
            </w:r>
            <w:r w:rsidR="001A07CF" w:rsidRPr="009D07C7">
              <w:rPr>
                <w:iCs/>
                <w:sz w:val="22"/>
                <w:szCs w:val="22"/>
                <w:lang w:val="lv-LV"/>
              </w:rPr>
              <w:t xml:space="preserve">da </w:t>
            </w:r>
            <w:r w:rsidR="004E23D0" w:rsidRPr="009D07C7">
              <w:rPr>
                <w:iCs/>
                <w:sz w:val="22"/>
                <w:szCs w:val="22"/>
                <w:lang w:val="lv-LV"/>
              </w:rPr>
              <w:t>projekta administrēšanas aktivitātēm (piemēram savlaicīga atskaišu vai dokumentu neiesniegšana).</w:t>
            </w:r>
          </w:p>
          <w:p w14:paraId="5AE2E53D" w14:textId="77777777" w:rsidR="003D0909" w:rsidRPr="009D07C7" w:rsidRDefault="003D0909" w:rsidP="00E65D59">
            <w:pPr>
              <w:pStyle w:val="Text3"/>
              <w:snapToGrid w:val="0"/>
              <w:spacing w:after="0"/>
              <w:ind w:left="0"/>
              <w:rPr>
                <w:iCs/>
                <w:sz w:val="22"/>
                <w:szCs w:val="22"/>
                <w:lang w:val="lv-LV"/>
              </w:rPr>
            </w:pPr>
          </w:p>
        </w:tc>
        <w:tc>
          <w:tcPr>
            <w:tcW w:w="937" w:type="pct"/>
            <w:gridSpan w:val="2"/>
            <w:tcBorders>
              <w:bottom w:val="single" w:sz="4" w:space="0" w:color="auto"/>
            </w:tcBorders>
            <w:shd w:val="clear" w:color="auto" w:fill="FFFFFF"/>
          </w:tcPr>
          <w:p w14:paraId="4D812D6D" w14:textId="77777777" w:rsidR="00DD563F" w:rsidRPr="009D07C7" w:rsidRDefault="00DD563F" w:rsidP="00E65D59">
            <w:pPr>
              <w:jc w:val="center"/>
              <w:rPr>
                <w:sz w:val="22"/>
                <w:szCs w:val="22"/>
              </w:rPr>
            </w:pPr>
            <w:r w:rsidRPr="009D07C7">
              <w:rPr>
                <w:sz w:val="22"/>
                <w:szCs w:val="22"/>
              </w:rPr>
              <w:lastRenderedPageBreak/>
              <w:t>25%</w:t>
            </w:r>
          </w:p>
          <w:p w14:paraId="6FB88763" w14:textId="77777777" w:rsidR="00330C0D" w:rsidRPr="009D07C7" w:rsidRDefault="00DD563F" w:rsidP="00E65D59">
            <w:pPr>
              <w:jc w:val="both"/>
              <w:rPr>
                <w:sz w:val="22"/>
                <w:szCs w:val="22"/>
              </w:rPr>
            </w:pPr>
            <w:r w:rsidRPr="009D07C7">
              <w:rPr>
                <w:sz w:val="22"/>
                <w:szCs w:val="22"/>
              </w:rPr>
              <w:t>Korekciju piemēro</w:t>
            </w:r>
            <w:r w:rsidR="00516A85" w:rsidRPr="009D07C7">
              <w:rPr>
                <w:sz w:val="22"/>
                <w:szCs w:val="22"/>
              </w:rPr>
              <w:t xml:space="preserve"> projektā attiecināmajām izmaksām vai  konkrētām pozīcijām gadījumos, kad iespējams tās noteikt, </w:t>
            </w:r>
            <w:r w:rsidRPr="009D07C7">
              <w:rPr>
                <w:sz w:val="22"/>
                <w:szCs w:val="22"/>
              </w:rPr>
              <w:t xml:space="preserve">izvērtējot katru gadījumu atsevišķi, ņemot vērā pārkāpuma būtiskumu un ietekmi uz projekta īstenošanu un izdevumu pamatotību. Ir pieļaujamas arī finanšu korekcijas 10%, 5% un 2% apmērā. </w:t>
            </w:r>
          </w:p>
          <w:p w14:paraId="152EC42C" w14:textId="77777777" w:rsidR="003D0909" w:rsidRPr="009D07C7" w:rsidRDefault="003D0909" w:rsidP="00E65D59">
            <w:pPr>
              <w:jc w:val="both"/>
              <w:rPr>
                <w:sz w:val="22"/>
                <w:szCs w:val="22"/>
              </w:rPr>
            </w:pPr>
          </w:p>
          <w:p w14:paraId="3E289258" w14:textId="77777777" w:rsidR="003D0909" w:rsidRPr="009D07C7" w:rsidRDefault="003D0909" w:rsidP="00E65D59">
            <w:pPr>
              <w:jc w:val="both"/>
              <w:rPr>
                <w:sz w:val="22"/>
                <w:szCs w:val="22"/>
              </w:rPr>
            </w:pPr>
          </w:p>
          <w:p w14:paraId="358302F3" w14:textId="77777777" w:rsidR="003D0909" w:rsidRPr="009D07C7" w:rsidRDefault="003D0909" w:rsidP="00E65D59">
            <w:pPr>
              <w:jc w:val="both"/>
              <w:rPr>
                <w:sz w:val="22"/>
                <w:szCs w:val="22"/>
              </w:rPr>
            </w:pPr>
          </w:p>
          <w:p w14:paraId="7E14FAF7" w14:textId="77777777" w:rsidR="003D0909" w:rsidRPr="009D07C7" w:rsidRDefault="003D0909" w:rsidP="00E65D59">
            <w:pPr>
              <w:jc w:val="both"/>
              <w:rPr>
                <w:sz w:val="22"/>
                <w:szCs w:val="22"/>
              </w:rPr>
            </w:pPr>
          </w:p>
          <w:p w14:paraId="05ECDC01" w14:textId="77777777" w:rsidR="003D0909" w:rsidRPr="009D07C7" w:rsidRDefault="003D0909" w:rsidP="00E65D59">
            <w:pPr>
              <w:jc w:val="both"/>
              <w:rPr>
                <w:sz w:val="22"/>
                <w:szCs w:val="22"/>
              </w:rPr>
            </w:pPr>
          </w:p>
          <w:p w14:paraId="6AC0D905" w14:textId="77777777" w:rsidR="003D0909" w:rsidRPr="009D07C7" w:rsidRDefault="003D0909" w:rsidP="00E65D59">
            <w:pPr>
              <w:jc w:val="both"/>
              <w:rPr>
                <w:sz w:val="22"/>
                <w:szCs w:val="22"/>
              </w:rPr>
            </w:pPr>
          </w:p>
          <w:p w14:paraId="035279AD" w14:textId="77777777" w:rsidR="003D0909" w:rsidRPr="009D07C7" w:rsidRDefault="003D0909" w:rsidP="00E65D59">
            <w:pPr>
              <w:jc w:val="both"/>
              <w:rPr>
                <w:sz w:val="22"/>
                <w:szCs w:val="22"/>
              </w:rPr>
            </w:pPr>
          </w:p>
          <w:p w14:paraId="0E1281B2" w14:textId="77777777" w:rsidR="003D0909" w:rsidRPr="009D07C7" w:rsidRDefault="003D0909" w:rsidP="00E65D59">
            <w:pPr>
              <w:jc w:val="both"/>
              <w:rPr>
                <w:sz w:val="22"/>
                <w:szCs w:val="22"/>
              </w:rPr>
            </w:pPr>
          </w:p>
          <w:p w14:paraId="770644B5" w14:textId="77777777" w:rsidR="003D0909" w:rsidRPr="009D07C7" w:rsidRDefault="003D0909" w:rsidP="00E65D59">
            <w:pPr>
              <w:jc w:val="both"/>
              <w:rPr>
                <w:sz w:val="22"/>
                <w:szCs w:val="22"/>
              </w:rPr>
            </w:pPr>
          </w:p>
          <w:p w14:paraId="4686C9B1" w14:textId="77777777" w:rsidR="003D0909" w:rsidRPr="009D07C7" w:rsidRDefault="003D0909" w:rsidP="00E65D59">
            <w:pPr>
              <w:jc w:val="both"/>
              <w:rPr>
                <w:sz w:val="22"/>
                <w:szCs w:val="22"/>
              </w:rPr>
            </w:pPr>
          </w:p>
          <w:p w14:paraId="3BF4618B" w14:textId="77777777" w:rsidR="003D0909" w:rsidRPr="009D07C7" w:rsidRDefault="003D0909" w:rsidP="00E65D59">
            <w:pPr>
              <w:jc w:val="both"/>
              <w:rPr>
                <w:sz w:val="22"/>
                <w:szCs w:val="22"/>
              </w:rPr>
            </w:pPr>
          </w:p>
          <w:p w14:paraId="294EEDF6" w14:textId="77777777" w:rsidR="003D0909" w:rsidRPr="009D07C7" w:rsidRDefault="003D0909" w:rsidP="00E65D59">
            <w:pPr>
              <w:jc w:val="both"/>
              <w:rPr>
                <w:sz w:val="22"/>
                <w:szCs w:val="22"/>
              </w:rPr>
            </w:pPr>
          </w:p>
          <w:p w14:paraId="540BAF63" w14:textId="77777777" w:rsidR="003D0909" w:rsidRPr="009D07C7" w:rsidRDefault="003D0909" w:rsidP="00E65D59">
            <w:pPr>
              <w:jc w:val="both"/>
              <w:rPr>
                <w:sz w:val="22"/>
                <w:szCs w:val="22"/>
              </w:rPr>
            </w:pPr>
          </w:p>
          <w:p w14:paraId="5F544B92" w14:textId="77777777" w:rsidR="003D0909" w:rsidRPr="009D07C7" w:rsidRDefault="003D0909" w:rsidP="00E65D59">
            <w:pPr>
              <w:jc w:val="both"/>
              <w:rPr>
                <w:sz w:val="22"/>
                <w:szCs w:val="22"/>
              </w:rPr>
            </w:pPr>
          </w:p>
          <w:p w14:paraId="3FE3FB61" w14:textId="77777777" w:rsidR="003D0909" w:rsidRPr="009D07C7" w:rsidRDefault="003D0909" w:rsidP="00E65D59">
            <w:pPr>
              <w:jc w:val="both"/>
              <w:rPr>
                <w:sz w:val="22"/>
                <w:szCs w:val="22"/>
              </w:rPr>
            </w:pPr>
          </w:p>
          <w:p w14:paraId="282F7BD3" w14:textId="77777777" w:rsidR="003D0909" w:rsidRPr="009D07C7" w:rsidRDefault="003D0909" w:rsidP="00E65D59">
            <w:pPr>
              <w:jc w:val="both"/>
              <w:rPr>
                <w:sz w:val="22"/>
                <w:szCs w:val="22"/>
              </w:rPr>
            </w:pPr>
          </w:p>
          <w:p w14:paraId="40AE2159" w14:textId="77777777" w:rsidR="003D0909" w:rsidRPr="009D07C7" w:rsidRDefault="003D0909" w:rsidP="00E65D59">
            <w:pPr>
              <w:jc w:val="both"/>
              <w:rPr>
                <w:sz w:val="22"/>
                <w:szCs w:val="22"/>
              </w:rPr>
            </w:pPr>
          </w:p>
          <w:p w14:paraId="7342290C" w14:textId="77777777" w:rsidR="003D0909" w:rsidRPr="009D07C7" w:rsidRDefault="003D0909" w:rsidP="00E65D59">
            <w:pPr>
              <w:jc w:val="both"/>
              <w:rPr>
                <w:sz w:val="22"/>
                <w:szCs w:val="22"/>
              </w:rPr>
            </w:pPr>
          </w:p>
          <w:p w14:paraId="4C2DA9C5" w14:textId="77777777" w:rsidR="003D0909" w:rsidRPr="009D07C7" w:rsidRDefault="003D0909" w:rsidP="00E65D59">
            <w:pPr>
              <w:jc w:val="both"/>
              <w:rPr>
                <w:sz w:val="22"/>
                <w:szCs w:val="22"/>
              </w:rPr>
            </w:pPr>
          </w:p>
          <w:p w14:paraId="0ED6C083" w14:textId="77777777" w:rsidR="003D0909" w:rsidRPr="009D07C7" w:rsidRDefault="003D0909" w:rsidP="00E65D59">
            <w:pPr>
              <w:jc w:val="both"/>
              <w:rPr>
                <w:sz w:val="22"/>
                <w:szCs w:val="22"/>
              </w:rPr>
            </w:pPr>
          </w:p>
          <w:p w14:paraId="5FA4222D" w14:textId="77777777" w:rsidR="003D0909" w:rsidRPr="009D07C7" w:rsidRDefault="003D0909" w:rsidP="00E65D59">
            <w:pPr>
              <w:jc w:val="both"/>
              <w:rPr>
                <w:sz w:val="22"/>
                <w:szCs w:val="22"/>
              </w:rPr>
            </w:pPr>
          </w:p>
          <w:p w14:paraId="36C00837" w14:textId="77777777" w:rsidR="003D0909" w:rsidRPr="009D07C7" w:rsidRDefault="003D0909" w:rsidP="00E65D59">
            <w:pPr>
              <w:jc w:val="both"/>
              <w:rPr>
                <w:sz w:val="22"/>
                <w:szCs w:val="22"/>
              </w:rPr>
            </w:pPr>
          </w:p>
          <w:p w14:paraId="00080717" w14:textId="77777777" w:rsidR="003D0909" w:rsidRPr="009D07C7" w:rsidRDefault="003D0909" w:rsidP="00E65D59">
            <w:pPr>
              <w:jc w:val="both"/>
              <w:rPr>
                <w:sz w:val="22"/>
                <w:szCs w:val="22"/>
              </w:rPr>
            </w:pPr>
          </w:p>
          <w:p w14:paraId="4F04C06A" w14:textId="77777777" w:rsidR="003D0909" w:rsidRPr="009D07C7" w:rsidRDefault="003D0909" w:rsidP="00E65D59">
            <w:pPr>
              <w:jc w:val="both"/>
              <w:rPr>
                <w:sz w:val="22"/>
                <w:szCs w:val="22"/>
              </w:rPr>
            </w:pPr>
          </w:p>
          <w:p w14:paraId="04569228" w14:textId="77777777" w:rsidR="003D0909" w:rsidRPr="009D07C7" w:rsidRDefault="003D0909" w:rsidP="00E65D59">
            <w:pPr>
              <w:jc w:val="both"/>
              <w:rPr>
                <w:sz w:val="22"/>
                <w:szCs w:val="22"/>
              </w:rPr>
            </w:pPr>
          </w:p>
          <w:p w14:paraId="0831BC03" w14:textId="77777777" w:rsidR="003D0909" w:rsidRPr="009D07C7" w:rsidRDefault="003D0909" w:rsidP="00E65D59">
            <w:pPr>
              <w:jc w:val="both"/>
              <w:rPr>
                <w:sz w:val="22"/>
                <w:szCs w:val="22"/>
              </w:rPr>
            </w:pPr>
          </w:p>
          <w:p w14:paraId="77066A65" w14:textId="77777777" w:rsidR="003D0909" w:rsidRPr="009D07C7" w:rsidRDefault="003D0909" w:rsidP="00E65D59">
            <w:pPr>
              <w:jc w:val="both"/>
              <w:rPr>
                <w:sz w:val="22"/>
                <w:szCs w:val="22"/>
              </w:rPr>
            </w:pPr>
          </w:p>
          <w:p w14:paraId="4C2CA472" w14:textId="77777777" w:rsidR="003D0909" w:rsidRPr="009D07C7" w:rsidRDefault="003D0909" w:rsidP="00E65D59">
            <w:pPr>
              <w:jc w:val="both"/>
              <w:rPr>
                <w:sz w:val="22"/>
                <w:szCs w:val="22"/>
              </w:rPr>
            </w:pPr>
          </w:p>
          <w:p w14:paraId="67AD77B6" w14:textId="77777777" w:rsidR="003D0909" w:rsidRPr="009D07C7" w:rsidRDefault="003D0909" w:rsidP="00E65D59">
            <w:pPr>
              <w:jc w:val="both"/>
              <w:rPr>
                <w:sz w:val="22"/>
                <w:szCs w:val="22"/>
              </w:rPr>
            </w:pPr>
          </w:p>
          <w:p w14:paraId="04D67A35" w14:textId="77777777" w:rsidR="003D0909" w:rsidRPr="009D07C7" w:rsidRDefault="003D0909" w:rsidP="00E65D59">
            <w:pPr>
              <w:jc w:val="both"/>
              <w:rPr>
                <w:sz w:val="22"/>
                <w:szCs w:val="22"/>
              </w:rPr>
            </w:pPr>
          </w:p>
          <w:p w14:paraId="331AE4BF" w14:textId="77777777" w:rsidR="003D0909" w:rsidRPr="009D07C7" w:rsidRDefault="003D0909" w:rsidP="00E65D59">
            <w:pPr>
              <w:jc w:val="both"/>
              <w:rPr>
                <w:sz w:val="22"/>
                <w:szCs w:val="22"/>
              </w:rPr>
            </w:pPr>
          </w:p>
          <w:p w14:paraId="29C654A5" w14:textId="77777777" w:rsidR="003D0909" w:rsidRPr="009D07C7" w:rsidRDefault="003D0909" w:rsidP="00E65D59">
            <w:pPr>
              <w:jc w:val="both"/>
              <w:rPr>
                <w:sz w:val="22"/>
                <w:szCs w:val="22"/>
              </w:rPr>
            </w:pPr>
          </w:p>
          <w:p w14:paraId="38AA0EF1" w14:textId="77777777" w:rsidR="003D0909" w:rsidRPr="009D07C7" w:rsidRDefault="003D0909" w:rsidP="00E65D59">
            <w:pPr>
              <w:jc w:val="both"/>
              <w:rPr>
                <w:sz w:val="22"/>
                <w:szCs w:val="22"/>
              </w:rPr>
            </w:pPr>
          </w:p>
          <w:p w14:paraId="6F0BF496" w14:textId="77777777" w:rsidR="003D0909" w:rsidRPr="009D07C7" w:rsidRDefault="003D0909" w:rsidP="00E65D59">
            <w:pPr>
              <w:jc w:val="both"/>
              <w:rPr>
                <w:sz w:val="22"/>
                <w:szCs w:val="22"/>
              </w:rPr>
            </w:pPr>
          </w:p>
          <w:p w14:paraId="38B311CF" w14:textId="77777777" w:rsidR="003D0909" w:rsidRPr="009D07C7" w:rsidRDefault="003D0909" w:rsidP="00E65D59">
            <w:pPr>
              <w:jc w:val="both"/>
              <w:rPr>
                <w:sz w:val="22"/>
                <w:szCs w:val="22"/>
              </w:rPr>
            </w:pPr>
          </w:p>
          <w:p w14:paraId="48BEFAA8" w14:textId="77777777" w:rsidR="003D0909" w:rsidRPr="009D07C7" w:rsidRDefault="003D0909" w:rsidP="00E65D59">
            <w:pPr>
              <w:jc w:val="both"/>
              <w:rPr>
                <w:sz w:val="22"/>
                <w:szCs w:val="22"/>
              </w:rPr>
            </w:pPr>
          </w:p>
          <w:p w14:paraId="61A2CB4E" w14:textId="77777777" w:rsidR="003D0909" w:rsidRPr="009D07C7" w:rsidRDefault="003D0909" w:rsidP="00E65D59">
            <w:pPr>
              <w:jc w:val="both"/>
              <w:rPr>
                <w:sz w:val="22"/>
                <w:szCs w:val="22"/>
              </w:rPr>
            </w:pPr>
          </w:p>
          <w:p w14:paraId="3D5E6C18" w14:textId="77777777" w:rsidR="003D0909" w:rsidRPr="009D07C7" w:rsidRDefault="003D0909" w:rsidP="00E65D59">
            <w:pPr>
              <w:jc w:val="both"/>
              <w:rPr>
                <w:sz w:val="22"/>
                <w:szCs w:val="22"/>
              </w:rPr>
            </w:pPr>
          </w:p>
          <w:p w14:paraId="6A6598C0" w14:textId="77777777" w:rsidR="003D0909" w:rsidRPr="009D07C7" w:rsidRDefault="003D0909" w:rsidP="00E65D59">
            <w:pPr>
              <w:jc w:val="both"/>
              <w:rPr>
                <w:sz w:val="22"/>
                <w:szCs w:val="22"/>
              </w:rPr>
            </w:pPr>
          </w:p>
          <w:p w14:paraId="56A1FB41" w14:textId="77777777" w:rsidR="003D0909" w:rsidRPr="009D07C7" w:rsidRDefault="003D0909" w:rsidP="00E65D59">
            <w:pPr>
              <w:jc w:val="both"/>
              <w:rPr>
                <w:sz w:val="22"/>
                <w:szCs w:val="22"/>
              </w:rPr>
            </w:pPr>
          </w:p>
          <w:p w14:paraId="1F30CFF8" w14:textId="77777777" w:rsidR="003D0909" w:rsidRPr="009D07C7" w:rsidRDefault="003D0909" w:rsidP="00E65D59">
            <w:pPr>
              <w:jc w:val="both"/>
              <w:rPr>
                <w:sz w:val="22"/>
                <w:szCs w:val="22"/>
              </w:rPr>
            </w:pPr>
          </w:p>
          <w:p w14:paraId="2EA73164" w14:textId="77777777" w:rsidR="003D0909" w:rsidRPr="009D07C7" w:rsidRDefault="003D0909" w:rsidP="00E65D59">
            <w:pPr>
              <w:jc w:val="both"/>
              <w:rPr>
                <w:sz w:val="22"/>
                <w:szCs w:val="22"/>
              </w:rPr>
            </w:pPr>
          </w:p>
          <w:p w14:paraId="5F1E8A11" w14:textId="77777777" w:rsidR="003D0909" w:rsidRPr="009D07C7" w:rsidRDefault="003D0909" w:rsidP="00E65D59">
            <w:pPr>
              <w:jc w:val="both"/>
              <w:rPr>
                <w:sz w:val="22"/>
                <w:szCs w:val="22"/>
              </w:rPr>
            </w:pPr>
          </w:p>
          <w:p w14:paraId="31A3859E" w14:textId="77777777" w:rsidR="003D0909" w:rsidRPr="009D07C7" w:rsidRDefault="003D0909" w:rsidP="00E65D59">
            <w:pPr>
              <w:jc w:val="both"/>
              <w:rPr>
                <w:sz w:val="22"/>
                <w:szCs w:val="22"/>
              </w:rPr>
            </w:pPr>
          </w:p>
          <w:p w14:paraId="6949D743" w14:textId="77777777" w:rsidR="00F66F92" w:rsidRDefault="00F66F92" w:rsidP="00E65D59">
            <w:pPr>
              <w:jc w:val="both"/>
              <w:rPr>
                <w:sz w:val="22"/>
                <w:szCs w:val="22"/>
              </w:rPr>
            </w:pPr>
          </w:p>
          <w:p w14:paraId="50D40F83" w14:textId="77777777" w:rsidR="003D0909" w:rsidRPr="009D07C7" w:rsidRDefault="003D0909" w:rsidP="00E65D59">
            <w:pPr>
              <w:jc w:val="both"/>
              <w:rPr>
                <w:sz w:val="22"/>
                <w:szCs w:val="22"/>
              </w:rPr>
            </w:pPr>
            <w:r w:rsidRPr="009D07C7">
              <w:rPr>
                <w:sz w:val="22"/>
                <w:szCs w:val="22"/>
              </w:rPr>
              <w:t xml:space="preserve">b) tiek piemērota 2% korekcija no </w:t>
            </w:r>
            <w:r w:rsidR="00607528" w:rsidRPr="009D07C7">
              <w:rPr>
                <w:sz w:val="22"/>
                <w:szCs w:val="22"/>
              </w:rPr>
              <w:t xml:space="preserve">projekta attiecināmajām izmaksām </w:t>
            </w:r>
          </w:p>
        </w:tc>
      </w:tr>
      <w:tr w:rsidR="00DD563F" w:rsidRPr="009D07C7" w14:paraId="539373C7" w14:textId="77777777" w:rsidTr="00563EE9">
        <w:trPr>
          <w:trHeight w:val="77"/>
        </w:trPr>
        <w:tc>
          <w:tcPr>
            <w:tcW w:w="5000" w:type="pct"/>
            <w:gridSpan w:val="5"/>
            <w:tcBorders>
              <w:bottom w:val="single" w:sz="4" w:space="0" w:color="auto"/>
            </w:tcBorders>
            <w:shd w:val="clear" w:color="auto" w:fill="C0C0C0"/>
          </w:tcPr>
          <w:p w14:paraId="00F50A29" w14:textId="77777777" w:rsidR="00DD563F" w:rsidRPr="009D07C7" w:rsidRDefault="00701A90" w:rsidP="00E65D59">
            <w:pPr>
              <w:jc w:val="center"/>
              <w:rPr>
                <w:b/>
                <w:sz w:val="22"/>
                <w:szCs w:val="22"/>
              </w:rPr>
            </w:pPr>
            <w:r>
              <w:rPr>
                <w:b/>
                <w:sz w:val="22"/>
                <w:szCs w:val="22"/>
              </w:rPr>
              <w:lastRenderedPageBreak/>
              <w:t>Iepirkumu līguma līmenis</w:t>
            </w:r>
            <w:r w:rsidR="001740D3">
              <w:rPr>
                <w:rStyle w:val="FootnoteReference"/>
                <w:b/>
                <w:sz w:val="22"/>
                <w:szCs w:val="22"/>
              </w:rPr>
              <w:footnoteReference w:id="10"/>
            </w:r>
          </w:p>
        </w:tc>
      </w:tr>
      <w:tr w:rsidR="002679E5" w:rsidRPr="009D07C7" w14:paraId="15A4698D" w14:textId="77777777" w:rsidTr="00102ACE">
        <w:tc>
          <w:tcPr>
            <w:tcW w:w="5000" w:type="pct"/>
            <w:gridSpan w:val="5"/>
            <w:tcBorders>
              <w:bottom w:val="single" w:sz="4" w:space="0" w:color="auto"/>
            </w:tcBorders>
            <w:shd w:val="clear" w:color="auto" w:fill="D9D9D9"/>
          </w:tcPr>
          <w:p w14:paraId="5ACD6B90" w14:textId="77777777" w:rsidR="002679E5" w:rsidRPr="00E569DC" w:rsidRDefault="002679E5" w:rsidP="00E65D59">
            <w:pPr>
              <w:rPr>
                <w:sz w:val="22"/>
                <w:szCs w:val="22"/>
                <w:highlight w:val="yellow"/>
              </w:rPr>
            </w:pPr>
            <w:r w:rsidRPr="00D34969">
              <w:rPr>
                <w:b/>
                <w:sz w:val="22"/>
                <w:szCs w:val="22"/>
              </w:rPr>
              <w:t>Paziņojums par līgumu un tehniskā specifikācija</w:t>
            </w:r>
          </w:p>
        </w:tc>
      </w:tr>
      <w:tr w:rsidR="00701A90" w:rsidRPr="009D07C7" w14:paraId="102E3730" w14:textId="77777777" w:rsidTr="00701A90">
        <w:trPr>
          <w:trHeight w:val="332"/>
        </w:trPr>
        <w:tc>
          <w:tcPr>
            <w:tcW w:w="276" w:type="pct"/>
            <w:tcBorders>
              <w:bottom w:val="single" w:sz="4" w:space="0" w:color="auto"/>
            </w:tcBorders>
          </w:tcPr>
          <w:p w14:paraId="5F7211D3" w14:textId="77777777" w:rsidR="00701A90" w:rsidRPr="009D07C7" w:rsidRDefault="00701A90" w:rsidP="002679E5">
            <w:pPr>
              <w:numPr>
                <w:ilvl w:val="0"/>
                <w:numId w:val="1"/>
              </w:numPr>
              <w:rPr>
                <w:sz w:val="22"/>
                <w:szCs w:val="22"/>
              </w:rPr>
            </w:pPr>
          </w:p>
        </w:tc>
        <w:tc>
          <w:tcPr>
            <w:tcW w:w="1726" w:type="pct"/>
            <w:tcBorders>
              <w:bottom w:val="single" w:sz="4" w:space="0" w:color="auto"/>
            </w:tcBorders>
          </w:tcPr>
          <w:p w14:paraId="3622B00F" w14:textId="77777777" w:rsidR="00701A90" w:rsidRPr="00245153" w:rsidRDefault="00701A90" w:rsidP="000A6D4F">
            <w:pPr>
              <w:rPr>
                <w:sz w:val="22"/>
                <w:szCs w:val="22"/>
              </w:rPr>
            </w:pPr>
            <w:r>
              <w:rPr>
                <w:sz w:val="22"/>
                <w:szCs w:val="22"/>
              </w:rPr>
              <w:t>Paziņojuma par līgumu nepublicēšana</w:t>
            </w:r>
          </w:p>
          <w:p w14:paraId="6BC8F235" w14:textId="77777777" w:rsidR="00701A90" w:rsidRPr="00245153" w:rsidRDefault="00701A90" w:rsidP="000A6D4F">
            <w:pPr>
              <w:rPr>
                <w:sz w:val="22"/>
                <w:szCs w:val="22"/>
              </w:rPr>
            </w:pPr>
          </w:p>
          <w:p w14:paraId="1700D564" w14:textId="77777777" w:rsidR="00701A90" w:rsidRPr="00225303" w:rsidRDefault="00701A90" w:rsidP="000A6D4F">
            <w:pPr>
              <w:jc w:val="both"/>
              <w:rPr>
                <w:i/>
                <w:sz w:val="22"/>
                <w:szCs w:val="22"/>
              </w:rPr>
            </w:pPr>
            <w:r w:rsidRPr="00225303">
              <w:rPr>
                <w:i/>
                <w:sz w:val="22"/>
                <w:szCs w:val="22"/>
              </w:rPr>
              <w:t>Direktīvas Nr.</w:t>
            </w:r>
            <w:r w:rsidR="00D36776">
              <w:rPr>
                <w:i/>
                <w:sz w:val="22"/>
                <w:szCs w:val="22"/>
              </w:rPr>
              <w:t>2014/24/EK 26(5).pants, 48(1).pants, 49.pants, 50(1).-50(4).pants</w:t>
            </w:r>
          </w:p>
          <w:p w14:paraId="160713CE" w14:textId="77777777" w:rsidR="00701A90" w:rsidRDefault="00701A90" w:rsidP="000A6D4F">
            <w:pPr>
              <w:rPr>
                <w:i/>
                <w:sz w:val="22"/>
                <w:szCs w:val="22"/>
              </w:rPr>
            </w:pPr>
            <w:r w:rsidRPr="00225303">
              <w:rPr>
                <w:i/>
                <w:sz w:val="22"/>
                <w:szCs w:val="22"/>
              </w:rPr>
              <w:t xml:space="preserve">Direktīvas Nr.2004/17/EK </w:t>
            </w:r>
            <w:r>
              <w:rPr>
                <w:i/>
                <w:sz w:val="22"/>
                <w:szCs w:val="22"/>
              </w:rPr>
              <w:t>42.pants</w:t>
            </w:r>
          </w:p>
          <w:p w14:paraId="288F7B56" w14:textId="77777777" w:rsidR="00701A90" w:rsidRDefault="00701A90" w:rsidP="000A6D4F">
            <w:pPr>
              <w:rPr>
                <w:i/>
                <w:sz w:val="22"/>
                <w:szCs w:val="22"/>
              </w:rPr>
            </w:pPr>
            <w:r w:rsidRPr="00CD0506">
              <w:rPr>
                <w:i/>
                <w:sz w:val="22"/>
                <w:szCs w:val="22"/>
              </w:rPr>
              <w:t>Komisijas skaidrojošā  dokumenta n ° 2006 / C 179/02</w:t>
            </w:r>
            <w:r w:rsidRPr="00CD0506">
              <w:rPr>
                <w:rStyle w:val="FootnoteReference"/>
                <w:i/>
                <w:sz w:val="22"/>
                <w:szCs w:val="22"/>
              </w:rPr>
              <w:footnoteReference w:id="11"/>
            </w:r>
            <w:r w:rsidRPr="00CD0506">
              <w:rPr>
                <w:i/>
                <w:sz w:val="22"/>
                <w:szCs w:val="22"/>
              </w:rPr>
              <w:t xml:space="preserve"> 2.1 nodaļa</w:t>
            </w:r>
          </w:p>
          <w:p w14:paraId="237B603F" w14:textId="77777777" w:rsidR="00A2172D" w:rsidRDefault="00A2172D" w:rsidP="000A6D4F">
            <w:pPr>
              <w:rPr>
                <w:i/>
                <w:sz w:val="22"/>
                <w:szCs w:val="22"/>
              </w:rPr>
            </w:pPr>
          </w:p>
          <w:p w14:paraId="4F2807BC" w14:textId="77777777" w:rsidR="00A2172D" w:rsidRDefault="00A2172D" w:rsidP="000A6D4F">
            <w:pPr>
              <w:rPr>
                <w:i/>
                <w:sz w:val="22"/>
                <w:szCs w:val="22"/>
              </w:rPr>
            </w:pPr>
          </w:p>
          <w:p w14:paraId="4DBD8FA3" w14:textId="77777777" w:rsidR="00A2172D" w:rsidRPr="00CD0506" w:rsidRDefault="00A2172D" w:rsidP="000A6D4F">
            <w:pPr>
              <w:rPr>
                <w:i/>
                <w:sz w:val="22"/>
                <w:szCs w:val="22"/>
              </w:rPr>
            </w:pPr>
            <w:r>
              <w:rPr>
                <w:i/>
                <w:sz w:val="22"/>
                <w:szCs w:val="22"/>
              </w:rPr>
              <w:t>(EK 19.12.2013. vadlīniju</w:t>
            </w:r>
            <w:r>
              <w:rPr>
                <w:rStyle w:val="FootnoteReference"/>
                <w:i/>
                <w:sz w:val="22"/>
                <w:szCs w:val="22"/>
              </w:rPr>
              <w:footnoteReference w:id="12"/>
            </w:r>
            <w:r>
              <w:rPr>
                <w:i/>
                <w:sz w:val="22"/>
                <w:szCs w:val="22"/>
              </w:rPr>
              <w:t xml:space="preserve"> 2.1.sadaļas 1.punkts)</w:t>
            </w:r>
          </w:p>
        </w:tc>
        <w:tc>
          <w:tcPr>
            <w:tcW w:w="2061" w:type="pct"/>
            <w:tcBorders>
              <w:bottom w:val="single" w:sz="4" w:space="0" w:color="auto"/>
            </w:tcBorders>
          </w:tcPr>
          <w:p w14:paraId="7C3C3FF8" w14:textId="77777777" w:rsidR="00701A90" w:rsidRDefault="00701A90" w:rsidP="00701A90">
            <w:pPr>
              <w:jc w:val="both"/>
              <w:rPr>
                <w:sz w:val="22"/>
                <w:szCs w:val="22"/>
              </w:rPr>
            </w:pPr>
            <w:r w:rsidRPr="00245153">
              <w:rPr>
                <w:sz w:val="22"/>
                <w:szCs w:val="22"/>
              </w:rPr>
              <w:t xml:space="preserve">Līguma slēgšanas tiesības tika piešķirtas, </w:t>
            </w:r>
            <w:r w:rsidR="00F5211C">
              <w:rPr>
                <w:sz w:val="22"/>
                <w:szCs w:val="22"/>
              </w:rPr>
              <w:t xml:space="preserve">ievērojot iepirkuma </w:t>
            </w:r>
            <w:r w:rsidR="00B2389D">
              <w:rPr>
                <w:sz w:val="22"/>
                <w:szCs w:val="22"/>
              </w:rPr>
              <w:t>procedūras veikšanas kārtību</w:t>
            </w:r>
            <w:r w:rsidR="00F5211C">
              <w:rPr>
                <w:sz w:val="22"/>
                <w:szCs w:val="22"/>
              </w:rPr>
              <w:t xml:space="preserve">, </w:t>
            </w:r>
            <w:r w:rsidR="00B2389D">
              <w:rPr>
                <w:sz w:val="22"/>
                <w:szCs w:val="22"/>
              </w:rPr>
              <w:t xml:space="preserve">bet </w:t>
            </w:r>
            <w:r w:rsidRPr="00245153">
              <w:rPr>
                <w:sz w:val="22"/>
                <w:szCs w:val="22"/>
              </w:rPr>
              <w:t xml:space="preserve">nenodrošinot atbilstību </w:t>
            </w:r>
            <w:r>
              <w:rPr>
                <w:sz w:val="22"/>
                <w:szCs w:val="22"/>
              </w:rPr>
              <w:t>attiecīgajiem noteikumiem (piemēram, publikāciju ES Oficiālajā žurnālā gadījumos, kad tas noteikts Direktīvās</w:t>
            </w:r>
            <w:r w:rsidR="00B2389D">
              <w:rPr>
                <w:sz w:val="22"/>
                <w:szCs w:val="22"/>
              </w:rPr>
              <w:t xml:space="preserve"> vai publikāciju saskaņā ar nacionālo normatīvo aktu prasībām</w:t>
            </w:r>
            <w:r>
              <w:rPr>
                <w:sz w:val="22"/>
                <w:szCs w:val="22"/>
              </w:rPr>
              <w:t xml:space="preserve">). </w:t>
            </w:r>
          </w:p>
          <w:p w14:paraId="2E6F128B" w14:textId="77777777" w:rsidR="00701A90" w:rsidRDefault="00701A90" w:rsidP="00701A90">
            <w:pPr>
              <w:jc w:val="both"/>
              <w:rPr>
                <w:sz w:val="22"/>
                <w:szCs w:val="22"/>
              </w:rPr>
            </w:pPr>
          </w:p>
          <w:p w14:paraId="7627254D" w14:textId="77777777" w:rsidR="00701A90" w:rsidRPr="00D34969" w:rsidRDefault="00701A90" w:rsidP="00701A90">
            <w:pPr>
              <w:jc w:val="both"/>
              <w:rPr>
                <w:sz w:val="22"/>
                <w:szCs w:val="22"/>
              </w:rPr>
            </w:pPr>
          </w:p>
        </w:tc>
        <w:tc>
          <w:tcPr>
            <w:tcW w:w="937" w:type="pct"/>
            <w:gridSpan w:val="2"/>
            <w:tcBorders>
              <w:bottom w:val="single" w:sz="4" w:space="0" w:color="auto"/>
            </w:tcBorders>
          </w:tcPr>
          <w:p w14:paraId="56CEEDC3" w14:textId="77777777" w:rsidR="00701A90" w:rsidRDefault="00701A90" w:rsidP="000A6D4F">
            <w:pPr>
              <w:jc w:val="both"/>
              <w:rPr>
                <w:sz w:val="22"/>
                <w:szCs w:val="22"/>
              </w:rPr>
            </w:pPr>
            <w:r>
              <w:rPr>
                <w:sz w:val="22"/>
                <w:szCs w:val="22"/>
              </w:rPr>
              <w:t>100%</w:t>
            </w:r>
            <w:r w:rsidR="00B2389D">
              <w:rPr>
                <w:sz w:val="22"/>
                <w:szCs w:val="22"/>
              </w:rPr>
              <w:t>, ja līguma slēgšanas tiesības piešķirtas bez iepirkuma procedūras un nav ievēroti Līguma par Eiropas Savienības darbības noteikumi un principi.</w:t>
            </w:r>
          </w:p>
          <w:p w14:paraId="5B84362B" w14:textId="77777777" w:rsidR="00701A90" w:rsidRDefault="00701A90" w:rsidP="000A6D4F">
            <w:pPr>
              <w:jc w:val="both"/>
              <w:rPr>
                <w:sz w:val="22"/>
                <w:szCs w:val="22"/>
              </w:rPr>
            </w:pPr>
          </w:p>
          <w:p w14:paraId="7A1EF1C6" w14:textId="77777777" w:rsidR="00701A90" w:rsidRPr="00D34969" w:rsidRDefault="00701A90" w:rsidP="001A07CF">
            <w:pPr>
              <w:jc w:val="both"/>
              <w:rPr>
                <w:sz w:val="22"/>
                <w:szCs w:val="22"/>
              </w:rPr>
            </w:pPr>
            <w:r>
              <w:rPr>
                <w:sz w:val="22"/>
                <w:szCs w:val="22"/>
              </w:rPr>
              <w:t xml:space="preserve">25%, </w:t>
            </w:r>
            <w:r w:rsidRPr="007423DD">
              <w:rPr>
                <w:sz w:val="22"/>
                <w:szCs w:val="22"/>
              </w:rPr>
              <w:t xml:space="preserve">ja </w:t>
            </w:r>
            <w:r>
              <w:rPr>
                <w:sz w:val="22"/>
                <w:szCs w:val="22"/>
              </w:rPr>
              <w:t xml:space="preserve">paziņojuma (-u) par līgumu publicēšanas prasība ir noteikta </w:t>
            </w:r>
            <w:r w:rsidR="00F5211C">
              <w:rPr>
                <w:sz w:val="22"/>
                <w:szCs w:val="22"/>
              </w:rPr>
              <w:t xml:space="preserve">nacionālajos normatīvajos aktos, </w:t>
            </w:r>
            <w:r>
              <w:rPr>
                <w:sz w:val="22"/>
                <w:szCs w:val="22"/>
              </w:rPr>
              <w:t>Direktīvās un paziņojums par līgum</w:t>
            </w:r>
            <w:r w:rsidR="001A07CF">
              <w:rPr>
                <w:sz w:val="22"/>
                <w:szCs w:val="22"/>
              </w:rPr>
              <w:t>u</w:t>
            </w:r>
            <w:r>
              <w:rPr>
                <w:sz w:val="22"/>
                <w:szCs w:val="22"/>
              </w:rPr>
              <w:t xml:space="preserve"> nav bijis publicēts ES Oficiālajā žurnālā, bet tas publicēts tā, ka </w:t>
            </w:r>
            <w:r w:rsidRPr="007423DD">
              <w:rPr>
                <w:sz w:val="22"/>
                <w:szCs w:val="22"/>
              </w:rPr>
              <w:t>uzņēmum</w:t>
            </w:r>
            <w:r>
              <w:rPr>
                <w:sz w:val="22"/>
                <w:szCs w:val="22"/>
              </w:rPr>
              <w:t>am</w:t>
            </w:r>
            <w:r w:rsidRPr="007423DD">
              <w:rPr>
                <w:sz w:val="22"/>
                <w:szCs w:val="22"/>
              </w:rPr>
              <w:t>, kas atrodas citā</w:t>
            </w:r>
            <w:r>
              <w:rPr>
                <w:sz w:val="22"/>
                <w:szCs w:val="22"/>
              </w:rPr>
              <w:t xml:space="preserve"> DV </w:t>
            </w:r>
            <w:r w:rsidRPr="007423DD">
              <w:rPr>
                <w:sz w:val="22"/>
                <w:szCs w:val="22"/>
              </w:rPr>
              <w:t xml:space="preserve">ir piekļuve </w:t>
            </w:r>
            <w:r w:rsidRPr="007423DD">
              <w:rPr>
                <w:sz w:val="22"/>
                <w:szCs w:val="22"/>
              </w:rPr>
              <w:br/>
              <w:t>atbilstoša</w:t>
            </w:r>
            <w:r>
              <w:rPr>
                <w:sz w:val="22"/>
                <w:szCs w:val="22"/>
              </w:rPr>
              <w:t>i</w:t>
            </w:r>
            <w:r w:rsidRPr="007423DD">
              <w:rPr>
                <w:sz w:val="22"/>
                <w:szCs w:val="22"/>
              </w:rPr>
              <w:t xml:space="preserve"> informācija</w:t>
            </w:r>
            <w:r>
              <w:rPr>
                <w:sz w:val="22"/>
                <w:szCs w:val="22"/>
              </w:rPr>
              <w:t xml:space="preserve">i saistībā ar attiecīgo </w:t>
            </w:r>
            <w:r>
              <w:rPr>
                <w:sz w:val="22"/>
                <w:szCs w:val="22"/>
              </w:rPr>
              <w:lastRenderedPageBreak/>
              <w:t>iepirkumu pirms līgumtiesības ir piešķirtas, tādējādi</w:t>
            </w:r>
            <w:r w:rsidRPr="007423DD">
              <w:rPr>
                <w:sz w:val="22"/>
                <w:szCs w:val="22"/>
              </w:rPr>
              <w:t xml:space="preserve"> </w:t>
            </w:r>
            <w:r>
              <w:rPr>
                <w:sz w:val="22"/>
                <w:szCs w:val="22"/>
              </w:rPr>
              <w:t>attiecīgie</w:t>
            </w:r>
            <w:r w:rsidR="001A07CF">
              <w:rPr>
                <w:sz w:val="22"/>
                <w:szCs w:val="22"/>
              </w:rPr>
              <w:t>m</w:t>
            </w:r>
            <w:r>
              <w:rPr>
                <w:sz w:val="22"/>
                <w:szCs w:val="22"/>
              </w:rPr>
              <w:t xml:space="preserve"> uzņēmumiem</w:t>
            </w:r>
            <w:r w:rsidRPr="007423DD">
              <w:rPr>
                <w:sz w:val="22"/>
                <w:szCs w:val="22"/>
              </w:rPr>
              <w:t xml:space="preserve"> būtu </w:t>
            </w:r>
            <w:r w:rsidRPr="007423DD">
              <w:rPr>
                <w:sz w:val="22"/>
                <w:szCs w:val="22"/>
              </w:rPr>
              <w:br/>
            </w:r>
            <w:r>
              <w:rPr>
                <w:sz w:val="22"/>
                <w:szCs w:val="22"/>
              </w:rPr>
              <w:t>iespēja</w:t>
            </w:r>
            <w:r w:rsidRPr="007423DD">
              <w:rPr>
                <w:sz w:val="22"/>
                <w:szCs w:val="22"/>
              </w:rPr>
              <w:t xml:space="preserve"> iesniegt piedāvājumu </w:t>
            </w:r>
            <w:r>
              <w:rPr>
                <w:sz w:val="22"/>
                <w:szCs w:val="22"/>
              </w:rPr>
              <w:t>vai izrādīt</w:t>
            </w:r>
            <w:r w:rsidRPr="007423DD">
              <w:rPr>
                <w:sz w:val="22"/>
                <w:szCs w:val="22"/>
              </w:rPr>
              <w:t xml:space="preserve"> </w:t>
            </w:r>
            <w:r w:rsidR="001A07CF" w:rsidRPr="007423DD">
              <w:rPr>
                <w:sz w:val="22"/>
                <w:szCs w:val="22"/>
              </w:rPr>
              <w:t>interes</w:t>
            </w:r>
            <w:r w:rsidR="001A07CF">
              <w:rPr>
                <w:sz w:val="22"/>
                <w:szCs w:val="22"/>
              </w:rPr>
              <w:t>i</w:t>
            </w:r>
            <w:r w:rsidR="001A07CF" w:rsidRPr="007423DD">
              <w:rPr>
                <w:sz w:val="22"/>
                <w:szCs w:val="22"/>
              </w:rPr>
              <w:t xml:space="preserve"> </w:t>
            </w:r>
            <w:r w:rsidRPr="007423DD">
              <w:rPr>
                <w:sz w:val="22"/>
                <w:szCs w:val="22"/>
              </w:rPr>
              <w:t xml:space="preserve">piedalīties </w:t>
            </w:r>
            <w:r>
              <w:rPr>
                <w:sz w:val="22"/>
                <w:szCs w:val="22"/>
              </w:rPr>
              <w:t xml:space="preserve">iepirkumā. </w:t>
            </w:r>
            <w:r w:rsidRPr="007423DD">
              <w:rPr>
                <w:sz w:val="22"/>
                <w:szCs w:val="22"/>
              </w:rPr>
              <w:t xml:space="preserve">Praksē tas nozīmē, </w:t>
            </w:r>
            <w:r w:rsidRPr="007423DD">
              <w:rPr>
                <w:sz w:val="22"/>
                <w:szCs w:val="22"/>
              </w:rPr>
              <w:br/>
              <w:t>ka vai nu paziņojum</w:t>
            </w:r>
            <w:r>
              <w:rPr>
                <w:sz w:val="22"/>
                <w:szCs w:val="22"/>
              </w:rPr>
              <w:t>u</w:t>
            </w:r>
            <w:r w:rsidRPr="007423DD">
              <w:rPr>
                <w:sz w:val="22"/>
                <w:szCs w:val="22"/>
              </w:rPr>
              <w:t xml:space="preserve"> par līgumu </w:t>
            </w:r>
            <w:r w:rsidRPr="007423DD">
              <w:rPr>
                <w:sz w:val="22"/>
                <w:szCs w:val="22"/>
              </w:rPr>
              <w:br/>
              <w:t xml:space="preserve">publicē valsts līmenī (pēc </w:t>
            </w:r>
            <w:r w:rsidRPr="007423DD">
              <w:rPr>
                <w:sz w:val="22"/>
                <w:szCs w:val="22"/>
              </w:rPr>
              <w:br/>
              <w:t xml:space="preserve">valsts tiesību aktiem vai noteikumiem, </w:t>
            </w:r>
            <w:r>
              <w:rPr>
                <w:sz w:val="22"/>
                <w:szCs w:val="22"/>
              </w:rPr>
              <w:t>kas uz to attiecas)</w:t>
            </w:r>
            <w:r w:rsidRPr="007423DD">
              <w:rPr>
                <w:sz w:val="22"/>
                <w:szCs w:val="22"/>
              </w:rPr>
              <w:t xml:space="preserve"> vai pamatstandarti </w:t>
            </w:r>
            <w:r w:rsidRPr="007423DD">
              <w:rPr>
                <w:sz w:val="22"/>
                <w:szCs w:val="22"/>
              </w:rPr>
              <w:br/>
            </w:r>
            <w:r>
              <w:rPr>
                <w:sz w:val="22"/>
                <w:szCs w:val="22"/>
              </w:rPr>
              <w:t>p</w:t>
            </w:r>
            <w:r w:rsidRPr="007423DD">
              <w:rPr>
                <w:sz w:val="22"/>
                <w:szCs w:val="22"/>
              </w:rPr>
              <w:t>aziņojum</w:t>
            </w:r>
            <w:r>
              <w:rPr>
                <w:sz w:val="22"/>
                <w:szCs w:val="22"/>
              </w:rPr>
              <w:t>a par līgumu</w:t>
            </w:r>
            <w:r w:rsidRPr="007423DD">
              <w:rPr>
                <w:sz w:val="22"/>
                <w:szCs w:val="22"/>
              </w:rPr>
              <w:t xml:space="preserve"> publicēšana</w:t>
            </w:r>
            <w:r w:rsidR="001A07CF">
              <w:rPr>
                <w:sz w:val="22"/>
                <w:szCs w:val="22"/>
              </w:rPr>
              <w:t>i</w:t>
            </w:r>
            <w:r w:rsidRPr="007423DD">
              <w:rPr>
                <w:sz w:val="22"/>
                <w:szCs w:val="22"/>
              </w:rPr>
              <w:t xml:space="preserve"> bija </w:t>
            </w:r>
            <w:r w:rsidRPr="007423DD">
              <w:rPr>
                <w:sz w:val="22"/>
                <w:szCs w:val="22"/>
              </w:rPr>
              <w:br/>
              <w:t>ievērot</w:t>
            </w:r>
            <w:r>
              <w:rPr>
                <w:sz w:val="22"/>
                <w:szCs w:val="22"/>
              </w:rPr>
              <w:t>i</w:t>
            </w:r>
            <w:r w:rsidRPr="007423DD">
              <w:rPr>
                <w:sz w:val="22"/>
                <w:szCs w:val="22"/>
              </w:rPr>
              <w:t xml:space="preserve">. Lai iegūtu sīkāku informāciju par šiem </w:t>
            </w:r>
            <w:r w:rsidRPr="007423DD">
              <w:rPr>
                <w:sz w:val="22"/>
                <w:szCs w:val="22"/>
              </w:rPr>
              <w:br/>
              <w:t>standart</w:t>
            </w:r>
            <w:r>
              <w:rPr>
                <w:sz w:val="22"/>
                <w:szCs w:val="22"/>
              </w:rPr>
              <w:t>iem</w:t>
            </w:r>
            <w:r w:rsidRPr="007423DD">
              <w:rPr>
                <w:sz w:val="22"/>
                <w:szCs w:val="22"/>
              </w:rPr>
              <w:t>, skatīt Komisijas skaidrojoš</w:t>
            </w:r>
            <w:r>
              <w:rPr>
                <w:sz w:val="22"/>
                <w:szCs w:val="22"/>
              </w:rPr>
              <w:t>ā</w:t>
            </w:r>
            <w:r w:rsidRPr="007423DD">
              <w:rPr>
                <w:sz w:val="22"/>
                <w:szCs w:val="22"/>
              </w:rPr>
              <w:t xml:space="preserve"> </w:t>
            </w:r>
            <w:r w:rsidRPr="007423DD">
              <w:rPr>
                <w:sz w:val="22"/>
                <w:szCs w:val="22"/>
              </w:rPr>
              <w:br/>
            </w:r>
            <w:r>
              <w:rPr>
                <w:sz w:val="22"/>
                <w:szCs w:val="22"/>
              </w:rPr>
              <w:t>dokumenta</w:t>
            </w:r>
            <w:r w:rsidRPr="007423DD">
              <w:rPr>
                <w:sz w:val="22"/>
                <w:szCs w:val="22"/>
              </w:rPr>
              <w:t xml:space="preserve"> n ° 2006 / C 179/02</w:t>
            </w:r>
            <w:r>
              <w:rPr>
                <w:rStyle w:val="FootnoteReference"/>
                <w:sz w:val="22"/>
                <w:szCs w:val="22"/>
              </w:rPr>
              <w:footnoteReference w:id="13"/>
            </w:r>
            <w:r>
              <w:rPr>
                <w:sz w:val="22"/>
                <w:szCs w:val="22"/>
              </w:rPr>
              <w:t xml:space="preserve"> </w:t>
            </w:r>
            <w:r w:rsidRPr="007423DD">
              <w:rPr>
                <w:sz w:val="22"/>
                <w:szCs w:val="22"/>
              </w:rPr>
              <w:t>2.1 nodaļu.</w:t>
            </w:r>
          </w:p>
        </w:tc>
      </w:tr>
      <w:tr w:rsidR="00701A90" w:rsidRPr="009D07C7" w14:paraId="125F3AF6" w14:textId="77777777" w:rsidTr="00701A90">
        <w:tc>
          <w:tcPr>
            <w:tcW w:w="276" w:type="pct"/>
            <w:tcBorders>
              <w:bottom w:val="single" w:sz="4" w:space="0" w:color="auto"/>
            </w:tcBorders>
          </w:tcPr>
          <w:p w14:paraId="5807E276" w14:textId="77777777" w:rsidR="00701A90" w:rsidRPr="009D07C7" w:rsidRDefault="00701A90" w:rsidP="002679E5">
            <w:pPr>
              <w:numPr>
                <w:ilvl w:val="0"/>
                <w:numId w:val="1"/>
              </w:numPr>
              <w:rPr>
                <w:sz w:val="22"/>
                <w:szCs w:val="22"/>
              </w:rPr>
            </w:pPr>
          </w:p>
        </w:tc>
        <w:tc>
          <w:tcPr>
            <w:tcW w:w="1726" w:type="pct"/>
            <w:tcBorders>
              <w:bottom w:val="single" w:sz="4" w:space="0" w:color="auto"/>
            </w:tcBorders>
          </w:tcPr>
          <w:p w14:paraId="4187A148" w14:textId="77777777" w:rsidR="00701A90" w:rsidRDefault="00701A90" w:rsidP="000A6D4F">
            <w:pPr>
              <w:jc w:val="both"/>
              <w:rPr>
                <w:sz w:val="22"/>
                <w:szCs w:val="22"/>
              </w:rPr>
            </w:pPr>
            <w:r>
              <w:rPr>
                <w:sz w:val="22"/>
                <w:szCs w:val="22"/>
              </w:rPr>
              <w:t>Mākslīga darbu, pakalpojuma, piegāžu līguma sadalīšana</w:t>
            </w:r>
          </w:p>
          <w:p w14:paraId="0B432DE3" w14:textId="77777777" w:rsidR="00701A90" w:rsidRDefault="00701A90" w:rsidP="000A6D4F">
            <w:pPr>
              <w:jc w:val="both"/>
              <w:rPr>
                <w:sz w:val="22"/>
                <w:szCs w:val="22"/>
              </w:rPr>
            </w:pPr>
          </w:p>
          <w:p w14:paraId="2B441211" w14:textId="77777777" w:rsidR="00701A90" w:rsidRPr="00225303" w:rsidRDefault="00701A90" w:rsidP="000A6D4F">
            <w:pPr>
              <w:jc w:val="both"/>
              <w:rPr>
                <w:i/>
                <w:sz w:val="22"/>
                <w:szCs w:val="22"/>
              </w:rPr>
            </w:pPr>
            <w:r w:rsidRPr="00225303">
              <w:rPr>
                <w:i/>
                <w:sz w:val="22"/>
                <w:szCs w:val="22"/>
              </w:rPr>
              <w:t>Direktīvas Nr.</w:t>
            </w:r>
            <w:r w:rsidR="00942563">
              <w:rPr>
                <w:i/>
                <w:sz w:val="22"/>
                <w:szCs w:val="22"/>
              </w:rPr>
              <w:t>2014/24/EK 5(3).pants</w:t>
            </w:r>
          </w:p>
          <w:p w14:paraId="6D75DD48" w14:textId="77777777" w:rsidR="00701A90" w:rsidRDefault="00701A90" w:rsidP="000A6D4F">
            <w:pPr>
              <w:jc w:val="both"/>
              <w:rPr>
                <w:i/>
                <w:sz w:val="22"/>
                <w:szCs w:val="22"/>
              </w:rPr>
            </w:pPr>
            <w:r w:rsidRPr="00225303">
              <w:rPr>
                <w:i/>
                <w:sz w:val="22"/>
                <w:szCs w:val="22"/>
              </w:rPr>
              <w:t xml:space="preserve">Direktīvas Nr.2004/17/EK </w:t>
            </w:r>
            <w:r>
              <w:rPr>
                <w:i/>
                <w:sz w:val="22"/>
                <w:szCs w:val="22"/>
              </w:rPr>
              <w:t>17(2).</w:t>
            </w:r>
            <w:r w:rsidRPr="00225303">
              <w:rPr>
                <w:i/>
                <w:sz w:val="22"/>
                <w:szCs w:val="22"/>
              </w:rPr>
              <w:t>pants</w:t>
            </w:r>
          </w:p>
          <w:p w14:paraId="5DB6FB74" w14:textId="77777777" w:rsidR="00A2172D" w:rsidRDefault="00A2172D" w:rsidP="000A6D4F">
            <w:pPr>
              <w:jc w:val="both"/>
              <w:rPr>
                <w:i/>
                <w:sz w:val="22"/>
                <w:szCs w:val="22"/>
              </w:rPr>
            </w:pPr>
          </w:p>
          <w:p w14:paraId="4FD98B59" w14:textId="77777777" w:rsidR="00A2172D" w:rsidRPr="00D34969" w:rsidRDefault="00A2172D" w:rsidP="00A2172D">
            <w:pPr>
              <w:jc w:val="both"/>
              <w:rPr>
                <w:sz w:val="22"/>
                <w:szCs w:val="22"/>
              </w:rPr>
            </w:pPr>
            <w:r w:rsidRPr="00A2172D">
              <w:rPr>
                <w:sz w:val="22"/>
                <w:szCs w:val="22"/>
              </w:rPr>
              <w:t xml:space="preserve">(EK 19.12.2013. vadlīniju  2.1.sadaļas </w:t>
            </w:r>
            <w:r>
              <w:rPr>
                <w:sz w:val="22"/>
                <w:szCs w:val="22"/>
              </w:rPr>
              <w:t>2</w:t>
            </w:r>
            <w:r w:rsidRPr="00A2172D">
              <w:rPr>
                <w:sz w:val="22"/>
                <w:szCs w:val="22"/>
              </w:rPr>
              <w:t>.punkts)</w:t>
            </w:r>
          </w:p>
        </w:tc>
        <w:tc>
          <w:tcPr>
            <w:tcW w:w="2061" w:type="pct"/>
            <w:tcBorders>
              <w:bottom w:val="single" w:sz="4" w:space="0" w:color="auto"/>
            </w:tcBorders>
          </w:tcPr>
          <w:p w14:paraId="67C3B8FC" w14:textId="77777777" w:rsidR="00701A90" w:rsidRPr="00D34969" w:rsidRDefault="00701A90" w:rsidP="001A07CF">
            <w:pPr>
              <w:jc w:val="both"/>
              <w:rPr>
                <w:sz w:val="22"/>
                <w:szCs w:val="22"/>
              </w:rPr>
            </w:pPr>
            <w:r w:rsidRPr="00744755">
              <w:rPr>
                <w:sz w:val="22"/>
                <w:szCs w:val="22"/>
              </w:rPr>
              <w:t xml:space="preserve">Būvdarbu projektus vai </w:t>
            </w:r>
            <w:r w:rsidRPr="00744755">
              <w:rPr>
                <w:sz w:val="22"/>
                <w:szCs w:val="22"/>
              </w:rPr>
              <w:br/>
            </w:r>
            <w:r>
              <w:rPr>
                <w:sz w:val="22"/>
                <w:szCs w:val="22"/>
              </w:rPr>
              <w:t>piedāvātās</w:t>
            </w:r>
            <w:r w:rsidRPr="00744755">
              <w:rPr>
                <w:sz w:val="22"/>
                <w:szCs w:val="22"/>
              </w:rPr>
              <w:t xml:space="preserve"> noteikt</w:t>
            </w:r>
            <w:r>
              <w:rPr>
                <w:sz w:val="22"/>
                <w:szCs w:val="22"/>
              </w:rPr>
              <w:t>a</w:t>
            </w:r>
            <w:r w:rsidRPr="00744755">
              <w:rPr>
                <w:sz w:val="22"/>
                <w:szCs w:val="22"/>
              </w:rPr>
              <w:t xml:space="preserve"> daudzum</w:t>
            </w:r>
            <w:r>
              <w:rPr>
                <w:sz w:val="22"/>
                <w:szCs w:val="22"/>
              </w:rPr>
              <w:t>a</w:t>
            </w:r>
            <w:r w:rsidRPr="00744755">
              <w:rPr>
                <w:sz w:val="22"/>
                <w:szCs w:val="22"/>
              </w:rPr>
              <w:t xml:space="preserve"> </w:t>
            </w:r>
            <w:r w:rsidRPr="00744755">
              <w:rPr>
                <w:sz w:val="22"/>
                <w:szCs w:val="22"/>
              </w:rPr>
              <w:br/>
              <w:t xml:space="preserve">piegādes un/vai pakalpojumi ir </w:t>
            </w:r>
            <w:r w:rsidRPr="00744755">
              <w:rPr>
                <w:sz w:val="22"/>
                <w:szCs w:val="22"/>
              </w:rPr>
              <w:br/>
            </w:r>
            <w:r w:rsidR="001A07CF" w:rsidRPr="00744755">
              <w:rPr>
                <w:sz w:val="22"/>
                <w:szCs w:val="22"/>
              </w:rPr>
              <w:t>sadalīt</w:t>
            </w:r>
            <w:r w:rsidR="001A07CF">
              <w:rPr>
                <w:sz w:val="22"/>
                <w:szCs w:val="22"/>
              </w:rPr>
              <w:t>ie</w:t>
            </w:r>
            <w:r w:rsidRPr="00744755">
              <w:rPr>
                <w:sz w:val="22"/>
                <w:szCs w:val="22"/>
              </w:rPr>
              <w:t xml:space="preserve">, kā rezultātā </w:t>
            </w:r>
            <w:r w:rsidR="001A07CF" w:rsidRPr="00744755">
              <w:rPr>
                <w:sz w:val="22"/>
                <w:szCs w:val="22"/>
              </w:rPr>
              <w:t>t</w:t>
            </w:r>
            <w:r w:rsidR="001A07CF">
              <w:rPr>
                <w:sz w:val="22"/>
                <w:szCs w:val="22"/>
              </w:rPr>
              <w:t>ie</w:t>
            </w:r>
            <w:r w:rsidR="001A07CF" w:rsidRPr="00744755">
              <w:rPr>
                <w:sz w:val="22"/>
                <w:szCs w:val="22"/>
              </w:rPr>
              <w:t xml:space="preserve"> </w:t>
            </w:r>
            <w:r w:rsidRPr="00744755">
              <w:rPr>
                <w:sz w:val="22"/>
                <w:szCs w:val="22"/>
              </w:rPr>
              <w:t>ir</w:t>
            </w:r>
            <w:r w:rsidRPr="00744755">
              <w:rPr>
                <w:sz w:val="22"/>
                <w:szCs w:val="22"/>
              </w:rPr>
              <w:br/>
              <w:t xml:space="preserve">ārpus Direktīvu nosacījumiem, </w:t>
            </w:r>
            <w:r w:rsidRPr="00744755">
              <w:rPr>
                <w:sz w:val="22"/>
                <w:szCs w:val="22"/>
              </w:rPr>
              <w:br/>
              <w:t xml:space="preserve">proti, izvairoties no to publicēšanas </w:t>
            </w:r>
            <w:r w:rsidRPr="00744755">
              <w:rPr>
                <w:sz w:val="22"/>
                <w:szCs w:val="22"/>
              </w:rPr>
              <w:br/>
              <w:t xml:space="preserve">ES oficiālajā žurnālā par visu darbu, </w:t>
            </w:r>
            <w:r w:rsidRPr="00744755">
              <w:rPr>
                <w:sz w:val="22"/>
                <w:szCs w:val="22"/>
              </w:rPr>
              <w:br/>
              <w:t>pakalpojumu vai piegāžu apjomu.</w:t>
            </w:r>
          </w:p>
        </w:tc>
        <w:tc>
          <w:tcPr>
            <w:tcW w:w="937" w:type="pct"/>
            <w:gridSpan w:val="2"/>
            <w:tcBorders>
              <w:bottom w:val="single" w:sz="4" w:space="0" w:color="auto"/>
            </w:tcBorders>
          </w:tcPr>
          <w:p w14:paraId="5A9C8BB7" w14:textId="77777777" w:rsidR="00701A90" w:rsidRPr="00565AD8" w:rsidRDefault="00701A90" w:rsidP="000A6D4F">
            <w:pPr>
              <w:jc w:val="both"/>
              <w:rPr>
                <w:sz w:val="22"/>
                <w:szCs w:val="22"/>
              </w:rPr>
            </w:pPr>
            <w:r w:rsidRPr="00565AD8">
              <w:rPr>
                <w:sz w:val="22"/>
                <w:szCs w:val="22"/>
              </w:rPr>
              <w:t>100%</w:t>
            </w:r>
          </w:p>
          <w:p w14:paraId="42A8C219" w14:textId="77777777" w:rsidR="00701A90" w:rsidRPr="00565AD8" w:rsidRDefault="00701A90" w:rsidP="000A6D4F">
            <w:pPr>
              <w:jc w:val="both"/>
              <w:rPr>
                <w:sz w:val="22"/>
                <w:szCs w:val="22"/>
              </w:rPr>
            </w:pPr>
          </w:p>
          <w:p w14:paraId="5F2B1205" w14:textId="77777777" w:rsidR="00701A90" w:rsidRPr="00D34969" w:rsidRDefault="00701A90" w:rsidP="001A07CF">
            <w:pPr>
              <w:jc w:val="both"/>
              <w:rPr>
                <w:sz w:val="22"/>
                <w:szCs w:val="22"/>
              </w:rPr>
            </w:pPr>
            <w:r w:rsidRPr="00565AD8">
              <w:rPr>
                <w:sz w:val="22"/>
                <w:szCs w:val="22"/>
              </w:rPr>
              <w:t>25%</w:t>
            </w:r>
            <w:r>
              <w:rPr>
                <w:sz w:val="22"/>
                <w:szCs w:val="22"/>
              </w:rPr>
              <w:t>,</w:t>
            </w:r>
            <w:r w:rsidRPr="00565AD8">
              <w:rPr>
                <w:sz w:val="22"/>
                <w:szCs w:val="22"/>
              </w:rPr>
              <w:t xml:space="preserve"> </w:t>
            </w:r>
            <w:r w:rsidRPr="007423DD">
              <w:rPr>
                <w:sz w:val="22"/>
                <w:szCs w:val="22"/>
              </w:rPr>
              <w:t xml:space="preserve">ja </w:t>
            </w:r>
            <w:r>
              <w:rPr>
                <w:sz w:val="22"/>
                <w:szCs w:val="22"/>
              </w:rPr>
              <w:t xml:space="preserve">paziņojuma par līgumu publicēšanas prasība ir noteikta Direktīvās un paziņojums par </w:t>
            </w:r>
            <w:r w:rsidR="001A07CF">
              <w:rPr>
                <w:sz w:val="22"/>
                <w:szCs w:val="22"/>
              </w:rPr>
              <w:t xml:space="preserve">līgumu </w:t>
            </w:r>
            <w:r>
              <w:rPr>
                <w:sz w:val="22"/>
                <w:szCs w:val="22"/>
              </w:rPr>
              <w:t xml:space="preserve">nav bijis publicēts ES Oficiālajā žurnālā, bet tas publicēts tā, ka </w:t>
            </w:r>
            <w:r w:rsidRPr="007423DD">
              <w:rPr>
                <w:sz w:val="22"/>
                <w:szCs w:val="22"/>
              </w:rPr>
              <w:t>uzņēmum</w:t>
            </w:r>
            <w:r>
              <w:rPr>
                <w:sz w:val="22"/>
                <w:szCs w:val="22"/>
              </w:rPr>
              <w:t>am</w:t>
            </w:r>
            <w:r w:rsidRPr="007423DD">
              <w:rPr>
                <w:sz w:val="22"/>
                <w:szCs w:val="22"/>
              </w:rPr>
              <w:t xml:space="preserve">, kas atrodas </w:t>
            </w:r>
            <w:r w:rsidRPr="007423DD">
              <w:rPr>
                <w:sz w:val="22"/>
                <w:szCs w:val="22"/>
              </w:rPr>
              <w:lastRenderedPageBreak/>
              <w:t>citā</w:t>
            </w:r>
            <w:r>
              <w:rPr>
                <w:sz w:val="22"/>
                <w:szCs w:val="22"/>
              </w:rPr>
              <w:t xml:space="preserve"> DV </w:t>
            </w:r>
            <w:r w:rsidRPr="007423DD">
              <w:rPr>
                <w:sz w:val="22"/>
                <w:szCs w:val="22"/>
              </w:rPr>
              <w:t xml:space="preserve">ir piekļuve </w:t>
            </w:r>
            <w:r w:rsidRPr="007423DD">
              <w:rPr>
                <w:sz w:val="22"/>
                <w:szCs w:val="22"/>
              </w:rPr>
              <w:br/>
              <w:t>atbilstoša</w:t>
            </w:r>
            <w:r>
              <w:rPr>
                <w:sz w:val="22"/>
                <w:szCs w:val="22"/>
              </w:rPr>
              <w:t>i</w:t>
            </w:r>
            <w:r w:rsidRPr="007423DD">
              <w:rPr>
                <w:sz w:val="22"/>
                <w:szCs w:val="22"/>
              </w:rPr>
              <w:t xml:space="preserve"> informācija</w:t>
            </w:r>
            <w:r>
              <w:rPr>
                <w:sz w:val="22"/>
                <w:szCs w:val="22"/>
              </w:rPr>
              <w:t>i saistībā ar attiecīgo iepirkumu pirms līgumtiesības ir piešķirtas, tādējādi</w:t>
            </w:r>
            <w:r w:rsidRPr="007423DD">
              <w:rPr>
                <w:sz w:val="22"/>
                <w:szCs w:val="22"/>
              </w:rPr>
              <w:t xml:space="preserve"> </w:t>
            </w:r>
            <w:r>
              <w:rPr>
                <w:sz w:val="22"/>
                <w:szCs w:val="22"/>
              </w:rPr>
              <w:t>attiecīgie</w:t>
            </w:r>
            <w:r w:rsidR="001A07CF">
              <w:rPr>
                <w:sz w:val="22"/>
                <w:szCs w:val="22"/>
              </w:rPr>
              <w:t>m</w:t>
            </w:r>
            <w:r>
              <w:rPr>
                <w:sz w:val="22"/>
                <w:szCs w:val="22"/>
              </w:rPr>
              <w:t xml:space="preserve"> uzņēmumiem</w:t>
            </w:r>
            <w:r w:rsidRPr="007423DD">
              <w:rPr>
                <w:sz w:val="22"/>
                <w:szCs w:val="22"/>
              </w:rPr>
              <w:t xml:space="preserve"> būtu </w:t>
            </w:r>
            <w:r w:rsidRPr="007423DD">
              <w:rPr>
                <w:sz w:val="22"/>
                <w:szCs w:val="22"/>
              </w:rPr>
              <w:br/>
            </w:r>
            <w:r>
              <w:rPr>
                <w:sz w:val="22"/>
                <w:szCs w:val="22"/>
              </w:rPr>
              <w:t>iespēja</w:t>
            </w:r>
            <w:r w:rsidRPr="007423DD">
              <w:rPr>
                <w:sz w:val="22"/>
                <w:szCs w:val="22"/>
              </w:rPr>
              <w:t xml:space="preserve"> iesniegt piedāvājumu </w:t>
            </w:r>
            <w:r>
              <w:rPr>
                <w:sz w:val="22"/>
                <w:szCs w:val="22"/>
              </w:rPr>
              <w:t>vai izrādīt</w:t>
            </w:r>
            <w:r w:rsidRPr="007423DD">
              <w:rPr>
                <w:sz w:val="22"/>
                <w:szCs w:val="22"/>
              </w:rPr>
              <w:t xml:space="preserve"> </w:t>
            </w:r>
            <w:r w:rsidR="001A07CF" w:rsidRPr="007423DD">
              <w:rPr>
                <w:sz w:val="22"/>
                <w:szCs w:val="22"/>
              </w:rPr>
              <w:t>interes</w:t>
            </w:r>
            <w:r w:rsidR="001A07CF">
              <w:rPr>
                <w:sz w:val="22"/>
                <w:szCs w:val="22"/>
              </w:rPr>
              <w:t>i</w:t>
            </w:r>
            <w:r w:rsidR="001A07CF" w:rsidRPr="007423DD">
              <w:rPr>
                <w:sz w:val="22"/>
                <w:szCs w:val="22"/>
              </w:rPr>
              <w:t xml:space="preserve"> </w:t>
            </w:r>
            <w:r w:rsidRPr="007423DD">
              <w:rPr>
                <w:sz w:val="22"/>
                <w:szCs w:val="22"/>
              </w:rPr>
              <w:t xml:space="preserve">piedalīties </w:t>
            </w:r>
            <w:r>
              <w:rPr>
                <w:sz w:val="22"/>
                <w:szCs w:val="22"/>
              </w:rPr>
              <w:t xml:space="preserve">iepirkumā. </w:t>
            </w:r>
            <w:r w:rsidRPr="007423DD">
              <w:rPr>
                <w:sz w:val="22"/>
                <w:szCs w:val="22"/>
              </w:rPr>
              <w:t xml:space="preserve">Praksē tas nozīmē, </w:t>
            </w:r>
            <w:r w:rsidRPr="007423DD">
              <w:rPr>
                <w:sz w:val="22"/>
                <w:szCs w:val="22"/>
              </w:rPr>
              <w:br/>
              <w:t>ka</w:t>
            </w:r>
            <w:r w:rsidR="001A07CF">
              <w:rPr>
                <w:sz w:val="22"/>
                <w:szCs w:val="22"/>
              </w:rPr>
              <w:t>,</w:t>
            </w:r>
            <w:r w:rsidRPr="007423DD">
              <w:rPr>
                <w:sz w:val="22"/>
                <w:szCs w:val="22"/>
              </w:rPr>
              <w:t xml:space="preserve"> vai nu paziņojum</w:t>
            </w:r>
            <w:r>
              <w:rPr>
                <w:sz w:val="22"/>
                <w:szCs w:val="22"/>
              </w:rPr>
              <w:t>u</w:t>
            </w:r>
            <w:r w:rsidRPr="007423DD">
              <w:rPr>
                <w:sz w:val="22"/>
                <w:szCs w:val="22"/>
              </w:rPr>
              <w:t xml:space="preserve"> par līgumu </w:t>
            </w:r>
            <w:r w:rsidRPr="007423DD">
              <w:rPr>
                <w:sz w:val="22"/>
                <w:szCs w:val="22"/>
              </w:rPr>
              <w:br/>
              <w:t xml:space="preserve">publicē valsts līmenī (pēc </w:t>
            </w:r>
            <w:r w:rsidRPr="007423DD">
              <w:rPr>
                <w:sz w:val="22"/>
                <w:szCs w:val="22"/>
              </w:rPr>
              <w:br/>
              <w:t xml:space="preserve">valsts tiesību aktiem vai noteikumiem, </w:t>
            </w:r>
            <w:r>
              <w:rPr>
                <w:sz w:val="22"/>
                <w:szCs w:val="22"/>
              </w:rPr>
              <w:t>kas uz to attiecas)</w:t>
            </w:r>
            <w:r w:rsidRPr="007423DD">
              <w:rPr>
                <w:sz w:val="22"/>
                <w:szCs w:val="22"/>
              </w:rPr>
              <w:t xml:space="preserve"> vai pamatstandarti </w:t>
            </w:r>
            <w:r w:rsidRPr="007423DD">
              <w:rPr>
                <w:sz w:val="22"/>
                <w:szCs w:val="22"/>
              </w:rPr>
              <w:br/>
            </w:r>
            <w:r>
              <w:rPr>
                <w:sz w:val="22"/>
                <w:szCs w:val="22"/>
              </w:rPr>
              <w:t>p</w:t>
            </w:r>
            <w:r w:rsidRPr="007423DD">
              <w:rPr>
                <w:sz w:val="22"/>
                <w:szCs w:val="22"/>
              </w:rPr>
              <w:t>aziņojum</w:t>
            </w:r>
            <w:r>
              <w:rPr>
                <w:sz w:val="22"/>
                <w:szCs w:val="22"/>
              </w:rPr>
              <w:t>a par līgumu</w:t>
            </w:r>
            <w:r w:rsidRPr="007423DD">
              <w:rPr>
                <w:sz w:val="22"/>
                <w:szCs w:val="22"/>
              </w:rPr>
              <w:t xml:space="preserve"> publicēšana</w:t>
            </w:r>
            <w:r w:rsidR="001A07CF">
              <w:rPr>
                <w:sz w:val="22"/>
                <w:szCs w:val="22"/>
              </w:rPr>
              <w:t>i</w:t>
            </w:r>
            <w:r w:rsidRPr="007423DD">
              <w:rPr>
                <w:sz w:val="22"/>
                <w:szCs w:val="22"/>
              </w:rPr>
              <w:t xml:space="preserve"> bija </w:t>
            </w:r>
            <w:r w:rsidRPr="007423DD">
              <w:rPr>
                <w:sz w:val="22"/>
                <w:szCs w:val="22"/>
              </w:rPr>
              <w:br/>
              <w:t>ievērot</w:t>
            </w:r>
            <w:r>
              <w:rPr>
                <w:sz w:val="22"/>
                <w:szCs w:val="22"/>
              </w:rPr>
              <w:t>i</w:t>
            </w:r>
            <w:r w:rsidRPr="007423DD">
              <w:rPr>
                <w:sz w:val="22"/>
                <w:szCs w:val="22"/>
              </w:rPr>
              <w:t xml:space="preserve">. Lai iegūtu sīkāku informāciju par šiem </w:t>
            </w:r>
            <w:r w:rsidRPr="007423DD">
              <w:rPr>
                <w:sz w:val="22"/>
                <w:szCs w:val="22"/>
              </w:rPr>
              <w:br/>
              <w:t>standart</w:t>
            </w:r>
            <w:r>
              <w:rPr>
                <w:sz w:val="22"/>
                <w:szCs w:val="22"/>
              </w:rPr>
              <w:t>iem</w:t>
            </w:r>
            <w:r w:rsidRPr="007423DD">
              <w:rPr>
                <w:sz w:val="22"/>
                <w:szCs w:val="22"/>
              </w:rPr>
              <w:t>, skatīt Komisijas skaidrojoš</w:t>
            </w:r>
            <w:r>
              <w:rPr>
                <w:sz w:val="22"/>
                <w:szCs w:val="22"/>
              </w:rPr>
              <w:t>ā</w:t>
            </w:r>
            <w:r w:rsidRPr="007423DD">
              <w:rPr>
                <w:sz w:val="22"/>
                <w:szCs w:val="22"/>
              </w:rPr>
              <w:t xml:space="preserve"> </w:t>
            </w:r>
            <w:r w:rsidRPr="007423DD">
              <w:rPr>
                <w:sz w:val="22"/>
                <w:szCs w:val="22"/>
              </w:rPr>
              <w:br/>
            </w:r>
            <w:r>
              <w:rPr>
                <w:sz w:val="22"/>
                <w:szCs w:val="22"/>
              </w:rPr>
              <w:t>dokumenta</w:t>
            </w:r>
            <w:r w:rsidRPr="007423DD">
              <w:rPr>
                <w:sz w:val="22"/>
                <w:szCs w:val="22"/>
              </w:rPr>
              <w:t xml:space="preserve"> n ° 2006 / C 179/02</w:t>
            </w:r>
            <w:r>
              <w:rPr>
                <w:rStyle w:val="FootnoteReference"/>
                <w:sz w:val="22"/>
                <w:szCs w:val="22"/>
              </w:rPr>
              <w:footnoteReference w:id="14"/>
            </w:r>
            <w:r>
              <w:rPr>
                <w:sz w:val="22"/>
                <w:szCs w:val="22"/>
              </w:rPr>
              <w:t xml:space="preserve"> </w:t>
            </w:r>
            <w:r w:rsidRPr="007423DD">
              <w:rPr>
                <w:sz w:val="22"/>
                <w:szCs w:val="22"/>
              </w:rPr>
              <w:t>2.1 nodaļu.</w:t>
            </w:r>
          </w:p>
        </w:tc>
      </w:tr>
      <w:tr w:rsidR="00701A90" w:rsidRPr="009D07C7" w14:paraId="38FE9698" w14:textId="77777777" w:rsidTr="00E569DC">
        <w:tc>
          <w:tcPr>
            <w:tcW w:w="276" w:type="pct"/>
            <w:tcBorders>
              <w:bottom w:val="single" w:sz="4" w:space="0" w:color="auto"/>
            </w:tcBorders>
          </w:tcPr>
          <w:p w14:paraId="6A65AD7B" w14:textId="77777777" w:rsidR="00701A90" w:rsidRPr="009D07C7" w:rsidRDefault="00701A90" w:rsidP="002679E5">
            <w:pPr>
              <w:numPr>
                <w:ilvl w:val="0"/>
                <w:numId w:val="1"/>
              </w:numPr>
              <w:rPr>
                <w:sz w:val="22"/>
                <w:szCs w:val="22"/>
              </w:rPr>
            </w:pPr>
          </w:p>
        </w:tc>
        <w:tc>
          <w:tcPr>
            <w:tcW w:w="1726" w:type="pct"/>
            <w:tcBorders>
              <w:bottom w:val="single" w:sz="4" w:space="0" w:color="auto"/>
            </w:tcBorders>
          </w:tcPr>
          <w:p w14:paraId="59BD37C6" w14:textId="77777777" w:rsidR="00701A90" w:rsidRDefault="00701A90" w:rsidP="000A6D4F">
            <w:pPr>
              <w:jc w:val="both"/>
              <w:rPr>
                <w:sz w:val="22"/>
                <w:szCs w:val="22"/>
              </w:rPr>
            </w:pPr>
            <w:r>
              <w:rPr>
                <w:sz w:val="22"/>
                <w:szCs w:val="22"/>
              </w:rPr>
              <w:t>Neatbilst:</w:t>
            </w:r>
          </w:p>
          <w:p w14:paraId="4B119CF1" w14:textId="77777777" w:rsidR="00701A90" w:rsidRDefault="00701A90" w:rsidP="003C2BFB">
            <w:pPr>
              <w:numPr>
                <w:ilvl w:val="0"/>
                <w:numId w:val="14"/>
              </w:numPr>
              <w:jc w:val="both"/>
              <w:rPr>
                <w:sz w:val="22"/>
                <w:szCs w:val="22"/>
              </w:rPr>
            </w:pPr>
            <w:r>
              <w:rPr>
                <w:sz w:val="22"/>
                <w:szCs w:val="22"/>
              </w:rPr>
              <w:t>termiņi piedāvājumu saņemšanai</w:t>
            </w:r>
          </w:p>
          <w:p w14:paraId="7DBEA69C" w14:textId="77777777" w:rsidR="00701A90" w:rsidRPr="001F1C8A" w:rsidRDefault="00701A90" w:rsidP="000A6D4F">
            <w:pPr>
              <w:jc w:val="both"/>
              <w:rPr>
                <w:sz w:val="22"/>
                <w:szCs w:val="22"/>
              </w:rPr>
            </w:pPr>
            <w:r w:rsidRPr="001F1C8A">
              <w:rPr>
                <w:sz w:val="22"/>
                <w:szCs w:val="22"/>
              </w:rPr>
              <w:t>Vai</w:t>
            </w:r>
          </w:p>
          <w:p w14:paraId="160A9F71" w14:textId="77777777" w:rsidR="00701A90" w:rsidRDefault="00701A90" w:rsidP="003C2BFB">
            <w:pPr>
              <w:numPr>
                <w:ilvl w:val="0"/>
                <w:numId w:val="14"/>
              </w:numPr>
              <w:jc w:val="both"/>
              <w:rPr>
                <w:sz w:val="22"/>
                <w:szCs w:val="22"/>
              </w:rPr>
            </w:pPr>
            <w:r w:rsidRPr="001F1C8A">
              <w:rPr>
                <w:sz w:val="22"/>
                <w:szCs w:val="22"/>
              </w:rPr>
              <w:t>termiņ</w:t>
            </w:r>
            <w:r>
              <w:rPr>
                <w:sz w:val="22"/>
                <w:szCs w:val="22"/>
              </w:rPr>
              <w:t>i</w:t>
            </w:r>
            <w:r w:rsidRPr="001F1C8A">
              <w:rPr>
                <w:sz w:val="22"/>
                <w:szCs w:val="22"/>
              </w:rPr>
              <w:t xml:space="preserve"> </w:t>
            </w:r>
            <w:r w:rsidR="007A359D">
              <w:rPr>
                <w:sz w:val="22"/>
                <w:szCs w:val="22"/>
              </w:rPr>
              <w:t xml:space="preserve">pieteikumu saņemšanai </w:t>
            </w:r>
          </w:p>
          <w:p w14:paraId="309373C4" w14:textId="77777777" w:rsidR="00701A90" w:rsidRDefault="00701A90" w:rsidP="000A6D4F">
            <w:pPr>
              <w:jc w:val="both"/>
              <w:rPr>
                <w:sz w:val="22"/>
                <w:szCs w:val="22"/>
              </w:rPr>
            </w:pPr>
          </w:p>
          <w:p w14:paraId="23CCE525" w14:textId="77777777" w:rsidR="00701A90" w:rsidRDefault="00701A90" w:rsidP="000A6D4F">
            <w:pPr>
              <w:jc w:val="both"/>
              <w:rPr>
                <w:sz w:val="22"/>
                <w:szCs w:val="22"/>
              </w:rPr>
            </w:pPr>
          </w:p>
          <w:p w14:paraId="067F861A" w14:textId="77777777" w:rsidR="00701A90" w:rsidRPr="00225303" w:rsidRDefault="00701A90" w:rsidP="000A6D4F">
            <w:pPr>
              <w:jc w:val="both"/>
              <w:rPr>
                <w:i/>
                <w:sz w:val="22"/>
                <w:szCs w:val="22"/>
              </w:rPr>
            </w:pPr>
            <w:r w:rsidRPr="00225303">
              <w:rPr>
                <w:i/>
                <w:sz w:val="22"/>
                <w:szCs w:val="22"/>
              </w:rPr>
              <w:lastRenderedPageBreak/>
              <w:t>Direktīvas Nr.</w:t>
            </w:r>
            <w:r w:rsidR="00BD7CE8">
              <w:rPr>
                <w:i/>
                <w:sz w:val="22"/>
                <w:szCs w:val="22"/>
              </w:rPr>
              <w:t>2014/24/EK 27(1).panta 1. un 3.daļa, 27(2).pants, 28(1).-28(3)pants, 28(6).pants, 29(1).panta 4.daļa, 30(1).pants, 47(1).-47(3).pants, 53(1).pants</w:t>
            </w:r>
          </w:p>
          <w:p w14:paraId="654835C3" w14:textId="77777777" w:rsidR="00701A90" w:rsidRDefault="00701A90" w:rsidP="000A6D4F">
            <w:pPr>
              <w:jc w:val="both"/>
              <w:rPr>
                <w:i/>
                <w:sz w:val="22"/>
                <w:szCs w:val="22"/>
              </w:rPr>
            </w:pPr>
            <w:r w:rsidRPr="00225303">
              <w:rPr>
                <w:i/>
                <w:sz w:val="22"/>
                <w:szCs w:val="22"/>
              </w:rPr>
              <w:t xml:space="preserve">Direktīvas Nr.2004/17/EK </w:t>
            </w:r>
            <w:r>
              <w:rPr>
                <w:i/>
                <w:sz w:val="22"/>
                <w:szCs w:val="22"/>
              </w:rPr>
              <w:t>45.</w:t>
            </w:r>
            <w:r w:rsidRPr="00225303">
              <w:rPr>
                <w:i/>
                <w:sz w:val="22"/>
                <w:szCs w:val="22"/>
              </w:rPr>
              <w:t>pants</w:t>
            </w:r>
          </w:p>
          <w:p w14:paraId="1E435B06" w14:textId="77777777" w:rsidR="00A2172D" w:rsidRDefault="00A2172D" w:rsidP="000A6D4F">
            <w:pPr>
              <w:jc w:val="both"/>
              <w:rPr>
                <w:i/>
                <w:sz w:val="22"/>
                <w:szCs w:val="22"/>
              </w:rPr>
            </w:pPr>
          </w:p>
          <w:p w14:paraId="1907BF36" w14:textId="77777777" w:rsidR="00A2172D" w:rsidRDefault="00A2172D" w:rsidP="00A2172D">
            <w:pPr>
              <w:jc w:val="both"/>
              <w:rPr>
                <w:sz w:val="22"/>
                <w:szCs w:val="22"/>
              </w:rPr>
            </w:pPr>
            <w:r w:rsidRPr="00A2172D">
              <w:rPr>
                <w:sz w:val="22"/>
                <w:szCs w:val="22"/>
              </w:rPr>
              <w:t xml:space="preserve">(EK 19.12.2013. vadlīniju  2.1.sadaļas </w:t>
            </w:r>
            <w:r>
              <w:rPr>
                <w:sz w:val="22"/>
                <w:szCs w:val="22"/>
              </w:rPr>
              <w:t>3</w:t>
            </w:r>
            <w:r w:rsidRPr="00A2172D">
              <w:rPr>
                <w:sz w:val="22"/>
                <w:szCs w:val="22"/>
              </w:rPr>
              <w:t>.punkts)</w:t>
            </w:r>
          </w:p>
          <w:p w14:paraId="593F3FC6" w14:textId="77777777" w:rsidR="007A359D" w:rsidRPr="00D34969" w:rsidRDefault="007A359D" w:rsidP="007A359D">
            <w:pPr>
              <w:jc w:val="both"/>
              <w:rPr>
                <w:sz w:val="22"/>
                <w:szCs w:val="22"/>
              </w:rPr>
            </w:pPr>
          </w:p>
        </w:tc>
        <w:tc>
          <w:tcPr>
            <w:tcW w:w="2061" w:type="pct"/>
            <w:tcBorders>
              <w:bottom w:val="single" w:sz="4" w:space="0" w:color="auto"/>
            </w:tcBorders>
          </w:tcPr>
          <w:p w14:paraId="6A7E81DE" w14:textId="77777777" w:rsidR="00701A90" w:rsidRDefault="00701A90" w:rsidP="000A6D4F">
            <w:pPr>
              <w:jc w:val="both"/>
              <w:rPr>
                <w:sz w:val="22"/>
                <w:szCs w:val="22"/>
              </w:rPr>
            </w:pPr>
            <w:r>
              <w:rPr>
                <w:sz w:val="22"/>
                <w:szCs w:val="22"/>
              </w:rPr>
              <w:lastRenderedPageBreak/>
              <w:t>T</w:t>
            </w:r>
            <w:r w:rsidRPr="00900A04">
              <w:rPr>
                <w:sz w:val="22"/>
                <w:szCs w:val="22"/>
              </w:rPr>
              <w:t>ermiņi piedāvājumu saņemšanai</w:t>
            </w:r>
            <w:r>
              <w:rPr>
                <w:sz w:val="22"/>
                <w:szCs w:val="22"/>
              </w:rPr>
              <w:t xml:space="preserve"> (vai</w:t>
            </w:r>
            <w:r w:rsidRPr="001F1C8A">
              <w:rPr>
                <w:sz w:val="22"/>
                <w:szCs w:val="22"/>
              </w:rPr>
              <w:t xml:space="preserve"> termiņ</w:t>
            </w:r>
            <w:r>
              <w:rPr>
                <w:sz w:val="22"/>
                <w:szCs w:val="22"/>
              </w:rPr>
              <w:t>i</w:t>
            </w:r>
            <w:r w:rsidRPr="001F1C8A">
              <w:rPr>
                <w:sz w:val="22"/>
                <w:szCs w:val="22"/>
              </w:rPr>
              <w:t xml:space="preserve"> piepras</w:t>
            </w:r>
            <w:r>
              <w:rPr>
                <w:sz w:val="22"/>
                <w:szCs w:val="22"/>
              </w:rPr>
              <w:t xml:space="preserve">ījumu saņemšanu, lai piedalītos) ir mazāki par termiņiem, kas noteikti Direktīvās. </w:t>
            </w:r>
          </w:p>
          <w:p w14:paraId="124913EB" w14:textId="77777777" w:rsidR="00701A90" w:rsidRPr="00D34969" w:rsidRDefault="00701A90" w:rsidP="000A6D4F">
            <w:pPr>
              <w:jc w:val="both"/>
              <w:rPr>
                <w:sz w:val="22"/>
                <w:szCs w:val="22"/>
              </w:rPr>
            </w:pPr>
          </w:p>
        </w:tc>
        <w:tc>
          <w:tcPr>
            <w:tcW w:w="937" w:type="pct"/>
            <w:gridSpan w:val="2"/>
            <w:tcBorders>
              <w:bottom w:val="single" w:sz="4" w:space="0" w:color="auto"/>
            </w:tcBorders>
          </w:tcPr>
          <w:p w14:paraId="188DD1ED" w14:textId="77777777" w:rsidR="00701A90" w:rsidRDefault="00701A90" w:rsidP="000A6D4F">
            <w:pPr>
              <w:jc w:val="both"/>
              <w:rPr>
                <w:sz w:val="22"/>
                <w:szCs w:val="22"/>
              </w:rPr>
            </w:pPr>
            <w:r>
              <w:rPr>
                <w:sz w:val="22"/>
                <w:szCs w:val="22"/>
              </w:rPr>
              <w:t>25%, ja termiņa samazinājums ir &gt;= ar 50%</w:t>
            </w:r>
          </w:p>
          <w:p w14:paraId="13BB2361" w14:textId="77777777" w:rsidR="00701A90" w:rsidRDefault="00701A90" w:rsidP="000A6D4F">
            <w:pPr>
              <w:jc w:val="both"/>
              <w:rPr>
                <w:sz w:val="22"/>
                <w:szCs w:val="22"/>
              </w:rPr>
            </w:pPr>
          </w:p>
          <w:p w14:paraId="0D48EF26" w14:textId="77777777" w:rsidR="00701A90" w:rsidRDefault="00701A90" w:rsidP="000A6D4F">
            <w:pPr>
              <w:jc w:val="both"/>
              <w:rPr>
                <w:sz w:val="22"/>
                <w:szCs w:val="22"/>
              </w:rPr>
            </w:pPr>
            <w:r>
              <w:rPr>
                <w:sz w:val="22"/>
                <w:szCs w:val="22"/>
              </w:rPr>
              <w:t>10%, ja termiņa samazinājums ir &gt;= ar 30%</w:t>
            </w:r>
          </w:p>
          <w:p w14:paraId="420B2D0B" w14:textId="77777777" w:rsidR="00701A90" w:rsidRDefault="00701A90" w:rsidP="000A6D4F">
            <w:pPr>
              <w:jc w:val="both"/>
              <w:rPr>
                <w:sz w:val="22"/>
                <w:szCs w:val="22"/>
              </w:rPr>
            </w:pPr>
          </w:p>
          <w:p w14:paraId="41CBC73A" w14:textId="77777777" w:rsidR="00701A90" w:rsidRDefault="00701A90" w:rsidP="000A6D4F">
            <w:pPr>
              <w:jc w:val="both"/>
              <w:rPr>
                <w:sz w:val="22"/>
                <w:szCs w:val="22"/>
              </w:rPr>
            </w:pPr>
            <w:r>
              <w:rPr>
                <w:sz w:val="22"/>
                <w:szCs w:val="22"/>
              </w:rPr>
              <w:lastRenderedPageBreak/>
              <w:t xml:space="preserve">5%, ja tiek konstatēts jebkurš cits termiņa samazinājums (šo korekciju ir iespējams </w:t>
            </w:r>
            <w:r w:rsidRPr="004E7745">
              <w:rPr>
                <w:sz w:val="22"/>
                <w:szCs w:val="22"/>
              </w:rPr>
              <w:t>samazināt uz 2%,</w:t>
            </w:r>
            <w:r>
              <w:rPr>
                <w:sz w:val="22"/>
                <w:szCs w:val="22"/>
              </w:rPr>
              <w:t xml:space="preserve"> ja neatbilstības smagums un raksturs nav samērojams ar 5% finanšu korekciju). </w:t>
            </w:r>
          </w:p>
          <w:p w14:paraId="41A6D9CE" w14:textId="77777777" w:rsidR="00701A90" w:rsidRPr="00D34969" w:rsidRDefault="00701A90" w:rsidP="000A6D4F">
            <w:pPr>
              <w:jc w:val="both"/>
              <w:rPr>
                <w:sz w:val="22"/>
                <w:szCs w:val="22"/>
              </w:rPr>
            </w:pPr>
          </w:p>
        </w:tc>
      </w:tr>
      <w:tr w:rsidR="00701A90" w:rsidRPr="009D07C7" w14:paraId="3F9FFCEB" w14:textId="77777777" w:rsidTr="00E569DC">
        <w:tc>
          <w:tcPr>
            <w:tcW w:w="276" w:type="pct"/>
            <w:tcBorders>
              <w:bottom w:val="single" w:sz="4" w:space="0" w:color="auto"/>
            </w:tcBorders>
          </w:tcPr>
          <w:p w14:paraId="19E40822" w14:textId="77777777" w:rsidR="00701A90" w:rsidRPr="009D07C7" w:rsidRDefault="00701A90" w:rsidP="002679E5">
            <w:pPr>
              <w:numPr>
                <w:ilvl w:val="0"/>
                <w:numId w:val="1"/>
              </w:numPr>
              <w:rPr>
                <w:sz w:val="22"/>
                <w:szCs w:val="22"/>
              </w:rPr>
            </w:pPr>
          </w:p>
        </w:tc>
        <w:tc>
          <w:tcPr>
            <w:tcW w:w="1726" w:type="pct"/>
            <w:tcBorders>
              <w:bottom w:val="single" w:sz="4" w:space="0" w:color="auto"/>
            </w:tcBorders>
          </w:tcPr>
          <w:p w14:paraId="5C18BBB2" w14:textId="77777777" w:rsidR="00701A90" w:rsidRDefault="00701A90" w:rsidP="000A6D4F">
            <w:pPr>
              <w:jc w:val="both"/>
              <w:rPr>
                <w:sz w:val="22"/>
                <w:szCs w:val="22"/>
              </w:rPr>
            </w:pPr>
            <w:r w:rsidRPr="00225303">
              <w:rPr>
                <w:sz w:val="22"/>
                <w:szCs w:val="22"/>
              </w:rPr>
              <w:t>Nepietiekams laiks potenciāl</w:t>
            </w:r>
            <w:r>
              <w:rPr>
                <w:sz w:val="22"/>
                <w:szCs w:val="22"/>
              </w:rPr>
              <w:t xml:space="preserve">ajiem </w:t>
            </w:r>
            <w:r w:rsidRPr="00225303">
              <w:rPr>
                <w:sz w:val="22"/>
                <w:szCs w:val="22"/>
              </w:rPr>
              <w:t>pretendent</w:t>
            </w:r>
            <w:r>
              <w:rPr>
                <w:sz w:val="22"/>
                <w:szCs w:val="22"/>
              </w:rPr>
              <w:t>iem</w:t>
            </w:r>
            <w:r w:rsidR="00F928D4">
              <w:rPr>
                <w:sz w:val="22"/>
                <w:szCs w:val="22"/>
              </w:rPr>
              <w:t xml:space="preserve"> </w:t>
            </w:r>
            <w:r>
              <w:rPr>
                <w:sz w:val="22"/>
                <w:szCs w:val="22"/>
              </w:rPr>
              <w:t xml:space="preserve">/ kandidātiem, lai iegūtu </w:t>
            </w:r>
            <w:r w:rsidRPr="00225303">
              <w:rPr>
                <w:sz w:val="22"/>
                <w:szCs w:val="22"/>
              </w:rPr>
              <w:t>konkursa dokumentācij</w:t>
            </w:r>
            <w:r w:rsidR="001A07CF">
              <w:rPr>
                <w:sz w:val="22"/>
                <w:szCs w:val="22"/>
              </w:rPr>
              <w:t>u</w:t>
            </w:r>
          </w:p>
          <w:p w14:paraId="3BE5701C" w14:textId="77777777" w:rsidR="00701A90" w:rsidRDefault="00701A90" w:rsidP="000A6D4F">
            <w:pPr>
              <w:jc w:val="both"/>
              <w:rPr>
                <w:sz w:val="22"/>
                <w:szCs w:val="22"/>
              </w:rPr>
            </w:pPr>
          </w:p>
          <w:p w14:paraId="6C0AB0D8" w14:textId="77777777" w:rsidR="00701A90" w:rsidRDefault="00701A90" w:rsidP="000A6D4F">
            <w:pPr>
              <w:jc w:val="both"/>
              <w:rPr>
                <w:i/>
                <w:sz w:val="22"/>
                <w:szCs w:val="22"/>
              </w:rPr>
            </w:pPr>
            <w:r w:rsidRPr="00225303">
              <w:rPr>
                <w:i/>
                <w:sz w:val="22"/>
                <w:szCs w:val="22"/>
              </w:rPr>
              <w:t xml:space="preserve">Direktīvas Nr.2004/17/EK </w:t>
            </w:r>
            <w:r>
              <w:rPr>
                <w:i/>
                <w:sz w:val="22"/>
                <w:szCs w:val="22"/>
              </w:rPr>
              <w:t>46</w:t>
            </w:r>
            <w:r w:rsidRPr="00225303">
              <w:rPr>
                <w:i/>
                <w:sz w:val="22"/>
                <w:szCs w:val="22"/>
              </w:rPr>
              <w:t>(</w:t>
            </w:r>
            <w:r>
              <w:rPr>
                <w:i/>
                <w:sz w:val="22"/>
                <w:szCs w:val="22"/>
              </w:rPr>
              <w:t>1</w:t>
            </w:r>
            <w:r w:rsidRPr="00225303">
              <w:rPr>
                <w:i/>
                <w:sz w:val="22"/>
                <w:szCs w:val="22"/>
              </w:rPr>
              <w:t>).pants</w:t>
            </w:r>
          </w:p>
          <w:p w14:paraId="712F4407" w14:textId="77777777" w:rsidR="00A2172D" w:rsidRDefault="00A2172D" w:rsidP="000A6D4F">
            <w:pPr>
              <w:jc w:val="both"/>
              <w:rPr>
                <w:i/>
                <w:sz w:val="22"/>
                <w:szCs w:val="22"/>
              </w:rPr>
            </w:pPr>
          </w:p>
          <w:p w14:paraId="3D51C099" w14:textId="77777777" w:rsidR="00A2172D" w:rsidRPr="00D34969" w:rsidRDefault="00A2172D" w:rsidP="00A2172D">
            <w:pPr>
              <w:jc w:val="both"/>
              <w:rPr>
                <w:sz w:val="22"/>
                <w:szCs w:val="22"/>
              </w:rPr>
            </w:pPr>
            <w:r w:rsidRPr="00A2172D">
              <w:rPr>
                <w:sz w:val="22"/>
                <w:szCs w:val="22"/>
              </w:rPr>
              <w:t xml:space="preserve">(EK 19.12.2013. vadlīniju  2.1.sadaļas </w:t>
            </w:r>
            <w:r>
              <w:rPr>
                <w:sz w:val="22"/>
                <w:szCs w:val="22"/>
              </w:rPr>
              <w:t>4</w:t>
            </w:r>
            <w:r w:rsidRPr="00A2172D">
              <w:rPr>
                <w:sz w:val="22"/>
                <w:szCs w:val="22"/>
              </w:rPr>
              <w:t>.punkts)</w:t>
            </w:r>
          </w:p>
        </w:tc>
        <w:tc>
          <w:tcPr>
            <w:tcW w:w="2061" w:type="pct"/>
            <w:tcBorders>
              <w:bottom w:val="single" w:sz="4" w:space="0" w:color="auto"/>
            </w:tcBorders>
          </w:tcPr>
          <w:p w14:paraId="04567165" w14:textId="77777777" w:rsidR="00701A90" w:rsidRDefault="00701A90" w:rsidP="000A6D4F">
            <w:pPr>
              <w:jc w:val="both"/>
              <w:rPr>
                <w:sz w:val="22"/>
                <w:szCs w:val="22"/>
              </w:rPr>
            </w:pPr>
            <w:r>
              <w:rPr>
                <w:sz w:val="22"/>
                <w:szCs w:val="22"/>
              </w:rPr>
              <w:t>Laiks, kas noteikts pretendentiem</w:t>
            </w:r>
            <w:r w:rsidR="00F928D4">
              <w:rPr>
                <w:sz w:val="22"/>
                <w:szCs w:val="22"/>
              </w:rPr>
              <w:t xml:space="preserve"> </w:t>
            </w:r>
            <w:r>
              <w:rPr>
                <w:sz w:val="22"/>
                <w:szCs w:val="22"/>
              </w:rPr>
              <w:t xml:space="preserve">/ kandidātiem, iepirkuma dokumentācijas iegūšanai ir pārāk īss, tādējādi radot nepamatotus šķēršļus konkurencei publiskajā iepirkumā. </w:t>
            </w:r>
          </w:p>
          <w:p w14:paraId="0348F1EF" w14:textId="77777777" w:rsidR="00701A90" w:rsidRDefault="00701A90" w:rsidP="000A6D4F">
            <w:pPr>
              <w:jc w:val="both"/>
              <w:rPr>
                <w:sz w:val="22"/>
                <w:szCs w:val="22"/>
              </w:rPr>
            </w:pPr>
          </w:p>
          <w:p w14:paraId="207600D1" w14:textId="77777777" w:rsidR="00701A90" w:rsidRPr="00D34969" w:rsidRDefault="00701A90" w:rsidP="001A07CF">
            <w:pPr>
              <w:jc w:val="both"/>
              <w:rPr>
                <w:sz w:val="22"/>
                <w:szCs w:val="22"/>
              </w:rPr>
            </w:pPr>
            <w:r>
              <w:rPr>
                <w:sz w:val="22"/>
                <w:szCs w:val="22"/>
              </w:rPr>
              <w:t xml:space="preserve">Finanšu korekcijas tiek piemērotas, ievērojot </w:t>
            </w:r>
            <w:r w:rsidRPr="00450006">
              <w:rPr>
                <w:i/>
                <w:sz w:val="22"/>
                <w:szCs w:val="22"/>
              </w:rPr>
              <w:t>case-by-case</w:t>
            </w:r>
            <w:r>
              <w:rPr>
                <w:sz w:val="22"/>
                <w:szCs w:val="22"/>
              </w:rPr>
              <w:t xml:space="preserve"> principu. Nosakot finanšu korekciju, vērā tiek </w:t>
            </w:r>
            <w:r w:rsidR="001A07CF">
              <w:rPr>
                <w:sz w:val="22"/>
                <w:szCs w:val="22"/>
              </w:rPr>
              <w:t xml:space="preserve">ņemti </w:t>
            </w:r>
            <w:r>
              <w:rPr>
                <w:sz w:val="22"/>
                <w:szCs w:val="22"/>
              </w:rPr>
              <w:t>tādi mīkstinoši apstākļi, kā līguma sarežģītība un specifika, īpaši iespējamais administratīvais slogs un grūtības</w:t>
            </w:r>
            <w:r w:rsidR="001A07CF">
              <w:rPr>
                <w:sz w:val="22"/>
                <w:szCs w:val="22"/>
              </w:rPr>
              <w:t>,</w:t>
            </w:r>
            <w:r>
              <w:rPr>
                <w:sz w:val="22"/>
                <w:szCs w:val="22"/>
              </w:rPr>
              <w:t xml:space="preserve"> nodrošinot iepirkuma dokumentāciju. </w:t>
            </w:r>
          </w:p>
        </w:tc>
        <w:tc>
          <w:tcPr>
            <w:tcW w:w="937" w:type="pct"/>
            <w:gridSpan w:val="2"/>
            <w:tcBorders>
              <w:bottom w:val="single" w:sz="4" w:space="0" w:color="auto"/>
            </w:tcBorders>
          </w:tcPr>
          <w:p w14:paraId="6A0A2519" w14:textId="77777777" w:rsidR="00701A90" w:rsidRDefault="00701A90" w:rsidP="000A6D4F">
            <w:pPr>
              <w:jc w:val="both"/>
              <w:rPr>
                <w:sz w:val="22"/>
                <w:szCs w:val="22"/>
              </w:rPr>
            </w:pPr>
            <w:r w:rsidRPr="00BF283B">
              <w:rPr>
                <w:sz w:val="22"/>
                <w:szCs w:val="22"/>
              </w:rPr>
              <w:t>25%, ja laiks, ka</w:t>
            </w:r>
            <w:r>
              <w:rPr>
                <w:sz w:val="22"/>
                <w:szCs w:val="22"/>
              </w:rPr>
              <w:t>d</w:t>
            </w:r>
            <w:r w:rsidRPr="00BF283B">
              <w:rPr>
                <w:sz w:val="22"/>
                <w:szCs w:val="22"/>
              </w:rPr>
              <w:t xml:space="preserve"> </w:t>
            </w:r>
            <w:r>
              <w:rPr>
                <w:sz w:val="22"/>
                <w:szCs w:val="22"/>
              </w:rPr>
              <w:t>potenciālajiem</w:t>
            </w:r>
            <w:r w:rsidRPr="00BF283B">
              <w:rPr>
                <w:sz w:val="22"/>
                <w:szCs w:val="22"/>
              </w:rPr>
              <w:t xml:space="preserve"> </w:t>
            </w:r>
            <w:r w:rsidRPr="00BF283B">
              <w:rPr>
                <w:sz w:val="22"/>
                <w:szCs w:val="22"/>
              </w:rPr>
              <w:br/>
              <w:t>pretendent</w:t>
            </w:r>
            <w:r>
              <w:rPr>
                <w:sz w:val="22"/>
                <w:szCs w:val="22"/>
              </w:rPr>
              <w:t>iem</w:t>
            </w:r>
            <w:r w:rsidRPr="00BF283B">
              <w:rPr>
                <w:sz w:val="22"/>
                <w:szCs w:val="22"/>
              </w:rPr>
              <w:t xml:space="preserve"> / kandidātiem ir jāiegūst </w:t>
            </w:r>
            <w:r w:rsidRPr="00BF283B">
              <w:rPr>
                <w:sz w:val="22"/>
                <w:szCs w:val="22"/>
              </w:rPr>
              <w:br/>
              <w:t xml:space="preserve">konkursa dokumentācija ir mazāks nekā </w:t>
            </w:r>
            <w:r w:rsidRPr="00BF283B">
              <w:rPr>
                <w:sz w:val="22"/>
                <w:szCs w:val="22"/>
              </w:rPr>
              <w:br/>
              <w:t xml:space="preserve">50% no laika ierobežojuma </w:t>
            </w:r>
            <w:r>
              <w:rPr>
                <w:sz w:val="22"/>
                <w:szCs w:val="22"/>
              </w:rPr>
              <w:t>piedāvājuma saņemšanai</w:t>
            </w:r>
            <w:r w:rsidRPr="00BF283B">
              <w:rPr>
                <w:sz w:val="22"/>
                <w:szCs w:val="22"/>
              </w:rPr>
              <w:t xml:space="preserve"> (saskaņā ar attiecīg</w:t>
            </w:r>
            <w:r>
              <w:rPr>
                <w:sz w:val="22"/>
                <w:szCs w:val="22"/>
              </w:rPr>
              <w:t>ajiem</w:t>
            </w:r>
            <w:r w:rsidRPr="00BF283B">
              <w:rPr>
                <w:sz w:val="22"/>
                <w:szCs w:val="22"/>
              </w:rPr>
              <w:t xml:space="preserve"> </w:t>
            </w:r>
            <w:r w:rsidRPr="00BF283B">
              <w:rPr>
                <w:sz w:val="22"/>
                <w:szCs w:val="22"/>
              </w:rPr>
              <w:br/>
              <w:t>noteikumi</w:t>
            </w:r>
            <w:r>
              <w:rPr>
                <w:sz w:val="22"/>
                <w:szCs w:val="22"/>
              </w:rPr>
              <w:t>em</w:t>
            </w:r>
            <w:r w:rsidRPr="00BF283B">
              <w:rPr>
                <w:sz w:val="22"/>
                <w:szCs w:val="22"/>
              </w:rPr>
              <w:t>).</w:t>
            </w:r>
          </w:p>
          <w:p w14:paraId="223E1264" w14:textId="77777777" w:rsidR="00701A90" w:rsidRDefault="00701A90" w:rsidP="000A6D4F">
            <w:pPr>
              <w:jc w:val="both"/>
              <w:rPr>
                <w:sz w:val="22"/>
                <w:szCs w:val="22"/>
              </w:rPr>
            </w:pPr>
          </w:p>
          <w:p w14:paraId="425445CB" w14:textId="77777777" w:rsidR="00701A90" w:rsidRDefault="00701A90" w:rsidP="000A6D4F">
            <w:pPr>
              <w:jc w:val="both"/>
              <w:rPr>
                <w:sz w:val="22"/>
                <w:szCs w:val="22"/>
              </w:rPr>
            </w:pPr>
            <w:r>
              <w:rPr>
                <w:sz w:val="22"/>
                <w:szCs w:val="22"/>
              </w:rPr>
              <w:t>10</w:t>
            </w:r>
            <w:r w:rsidRPr="00BF283B">
              <w:rPr>
                <w:sz w:val="22"/>
                <w:szCs w:val="22"/>
              </w:rPr>
              <w:t>%, ja laiks, ka</w:t>
            </w:r>
            <w:r>
              <w:rPr>
                <w:sz w:val="22"/>
                <w:szCs w:val="22"/>
              </w:rPr>
              <w:t>d</w:t>
            </w:r>
            <w:r w:rsidRPr="00BF283B">
              <w:rPr>
                <w:sz w:val="22"/>
                <w:szCs w:val="22"/>
              </w:rPr>
              <w:t xml:space="preserve"> </w:t>
            </w:r>
            <w:r>
              <w:rPr>
                <w:sz w:val="22"/>
                <w:szCs w:val="22"/>
              </w:rPr>
              <w:t>potenciālajiem</w:t>
            </w:r>
            <w:r w:rsidRPr="00BF283B">
              <w:rPr>
                <w:sz w:val="22"/>
                <w:szCs w:val="22"/>
              </w:rPr>
              <w:t xml:space="preserve"> </w:t>
            </w:r>
            <w:r w:rsidRPr="00BF283B">
              <w:rPr>
                <w:sz w:val="22"/>
                <w:szCs w:val="22"/>
              </w:rPr>
              <w:br/>
              <w:t>pretendent</w:t>
            </w:r>
            <w:r>
              <w:rPr>
                <w:sz w:val="22"/>
                <w:szCs w:val="22"/>
              </w:rPr>
              <w:t>iem</w:t>
            </w:r>
            <w:r w:rsidRPr="00BF283B">
              <w:rPr>
                <w:sz w:val="22"/>
                <w:szCs w:val="22"/>
              </w:rPr>
              <w:t xml:space="preserve"> / kandidātiem ir jāiegūst </w:t>
            </w:r>
            <w:r w:rsidRPr="00BF283B">
              <w:rPr>
                <w:sz w:val="22"/>
                <w:szCs w:val="22"/>
              </w:rPr>
              <w:br/>
              <w:t xml:space="preserve">konkursa dokumentācija ir mazāks nekā </w:t>
            </w:r>
            <w:r w:rsidRPr="00BF283B">
              <w:rPr>
                <w:sz w:val="22"/>
                <w:szCs w:val="22"/>
              </w:rPr>
              <w:br/>
            </w:r>
            <w:r>
              <w:rPr>
                <w:sz w:val="22"/>
                <w:szCs w:val="22"/>
              </w:rPr>
              <w:t>60</w:t>
            </w:r>
            <w:r w:rsidRPr="00BF283B">
              <w:rPr>
                <w:sz w:val="22"/>
                <w:szCs w:val="22"/>
              </w:rPr>
              <w:t xml:space="preserve">% no laika ierobežojuma </w:t>
            </w:r>
            <w:r>
              <w:rPr>
                <w:sz w:val="22"/>
                <w:szCs w:val="22"/>
              </w:rPr>
              <w:t>piedāvājuma saņemšanai</w:t>
            </w:r>
            <w:r w:rsidRPr="00BF283B">
              <w:rPr>
                <w:sz w:val="22"/>
                <w:szCs w:val="22"/>
              </w:rPr>
              <w:t xml:space="preserve"> (saskaņā ar attiecīg</w:t>
            </w:r>
            <w:r>
              <w:rPr>
                <w:sz w:val="22"/>
                <w:szCs w:val="22"/>
              </w:rPr>
              <w:t>ajiem</w:t>
            </w:r>
            <w:r w:rsidRPr="00BF283B">
              <w:rPr>
                <w:sz w:val="22"/>
                <w:szCs w:val="22"/>
              </w:rPr>
              <w:t xml:space="preserve"> </w:t>
            </w:r>
            <w:r w:rsidRPr="00BF283B">
              <w:rPr>
                <w:sz w:val="22"/>
                <w:szCs w:val="22"/>
              </w:rPr>
              <w:br/>
              <w:t>noteikumi</w:t>
            </w:r>
            <w:r>
              <w:rPr>
                <w:sz w:val="22"/>
                <w:szCs w:val="22"/>
              </w:rPr>
              <w:t>em</w:t>
            </w:r>
            <w:r w:rsidRPr="00BF283B">
              <w:rPr>
                <w:sz w:val="22"/>
                <w:szCs w:val="22"/>
              </w:rPr>
              <w:t>).</w:t>
            </w:r>
          </w:p>
          <w:p w14:paraId="360650D1" w14:textId="77777777" w:rsidR="00701A90" w:rsidRDefault="00701A90" w:rsidP="000A6D4F">
            <w:pPr>
              <w:jc w:val="both"/>
              <w:rPr>
                <w:sz w:val="22"/>
                <w:szCs w:val="22"/>
              </w:rPr>
            </w:pPr>
          </w:p>
          <w:p w14:paraId="2B573420" w14:textId="77777777" w:rsidR="00701A90" w:rsidRDefault="00701A90" w:rsidP="000A6D4F">
            <w:pPr>
              <w:jc w:val="both"/>
              <w:rPr>
                <w:sz w:val="22"/>
                <w:szCs w:val="22"/>
              </w:rPr>
            </w:pPr>
            <w:r w:rsidRPr="00BF283B">
              <w:rPr>
                <w:sz w:val="22"/>
                <w:szCs w:val="22"/>
              </w:rPr>
              <w:t>5%, ja laiks, ka</w:t>
            </w:r>
            <w:r>
              <w:rPr>
                <w:sz w:val="22"/>
                <w:szCs w:val="22"/>
              </w:rPr>
              <w:t>d</w:t>
            </w:r>
            <w:r w:rsidRPr="00BF283B">
              <w:rPr>
                <w:sz w:val="22"/>
                <w:szCs w:val="22"/>
              </w:rPr>
              <w:t xml:space="preserve"> </w:t>
            </w:r>
            <w:r>
              <w:rPr>
                <w:sz w:val="22"/>
                <w:szCs w:val="22"/>
              </w:rPr>
              <w:t>potenciālajiem</w:t>
            </w:r>
            <w:r w:rsidRPr="00BF283B">
              <w:rPr>
                <w:sz w:val="22"/>
                <w:szCs w:val="22"/>
              </w:rPr>
              <w:t xml:space="preserve"> </w:t>
            </w:r>
            <w:r w:rsidRPr="00BF283B">
              <w:rPr>
                <w:sz w:val="22"/>
                <w:szCs w:val="22"/>
              </w:rPr>
              <w:br/>
              <w:t>pretendent</w:t>
            </w:r>
            <w:r>
              <w:rPr>
                <w:sz w:val="22"/>
                <w:szCs w:val="22"/>
              </w:rPr>
              <w:t>iem</w:t>
            </w:r>
            <w:r w:rsidRPr="00BF283B">
              <w:rPr>
                <w:sz w:val="22"/>
                <w:szCs w:val="22"/>
              </w:rPr>
              <w:t xml:space="preserve"> / kandidātiem </w:t>
            </w:r>
            <w:r w:rsidRPr="00BF283B">
              <w:rPr>
                <w:sz w:val="22"/>
                <w:szCs w:val="22"/>
              </w:rPr>
              <w:lastRenderedPageBreak/>
              <w:t xml:space="preserve">ir jāiegūst </w:t>
            </w:r>
            <w:r w:rsidRPr="00BF283B">
              <w:rPr>
                <w:sz w:val="22"/>
                <w:szCs w:val="22"/>
              </w:rPr>
              <w:br/>
              <w:t xml:space="preserve">konkursa dokumentācija ir mazāks nekā </w:t>
            </w:r>
            <w:r w:rsidRPr="00BF283B">
              <w:rPr>
                <w:sz w:val="22"/>
                <w:szCs w:val="22"/>
              </w:rPr>
              <w:br/>
            </w:r>
            <w:r>
              <w:rPr>
                <w:sz w:val="22"/>
                <w:szCs w:val="22"/>
              </w:rPr>
              <w:t>8</w:t>
            </w:r>
            <w:r w:rsidRPr="00BF283B">
              <w:rPr>
                <w:sz w:val="22"/>
                <w:szCs w:val="22"/>
              </w:rPr>
              <w:t xml:space="preserve">0% no laika ierobežojuma </w:t>
            </w:r>
            <w:r>
              <w:rPr>
                <w:sz w:val="22"/>
                <w:szCs w:val="22"/>
              </w:rPr>
              <w:t>piedāvājuma saņemšanai</w:t>
            </w:r>
            <w:r w:rsidRPr="00BF283B">
              <w:rPr>
                <w:sz w:val="22"/>
                <w:szCs w:val="22"/>
              </w:rPr>
              <w:t xml:space="preserve"> (saskaņā ar attiecīg</w:t>
            </w:r>
            <w:r>
              <w:rPr>
                <w:sz w:val="22"/>
                <w:szCs w:val="22"/>
              </w:rPr>
              <w:t>ajiem</w:t>
            </w:r>
            <w:r w:rsidRPr="00BF283B">
              <w:rPr>
                <w:sz w:val="22"/>
                <w:szCs w:val="22"/>
              </w:rPr>
              <w:t xml:space="preserve"> </w:t>
            </w:r>
            <w:r w:rsidRPr="00BF283B">
              <w:rPr>
                <w:sz w:val="22"/>
                <w:szCs w:val="22"/>
              </w:rPr>
              <w:br/>
              <w:t>noteikumi</w:t>
            </w:r>
            <w:r>
              <w:rPr>
                <w:sz w:val="22"/>
                <w:szCs w:val="22"/>
              </w:rPr>
              <w:t>em</w:t>
            </w:r>
            <w:r w:rsidRPr="00BF283B">
              <w:rPr>
                <w:sz w:val="22"/>
                <w:szCs w:val="22"/>
              </w:rPr>
              <w:t>).</w:t>
            </w:r>
          </w:p>
          <w:p w14:paraId="4B776D11" w14:textId="77777777" w:rsidR="00701A90" w:rsidRPr="00D34969" w:rsidRDefault="00701A90" w:rsidP="000A6D4F">
            <w:pPr>
              <w:jc w:val="both"/>
              <w:rPr>
                <w:sz w:val="22"/>
                <w:szCs w:val="22"/>
              </w:rPr>
            </w:pPr>
          </w:p>
        </w:tc>
      </w:tr>
      <w:tr w:rsidR="00701A90" w:rsidRPr="009D07C7" w14:paraId="70C84C96" w14:textId="77777777" w:rsidTr="000A6D4F">
        <w:tc>
          <w:tcPr>
            <w:tcW w:w="276" w:type="pct"/>
            <w:tcBorders>
              <w:bottom w:val="single" w:sz="4" w:space="0" w:color="auto"/>
            </w:tcBorders>
          </w:tcPr>
          <w:p w14:paraId="77B691BE" w14:textId="77777777" w:rsidR="00701A90" w:rsidRPr="009D07C7" w:rsidRDefault="00701A90" w:rsidP="002679E5">
            <w:pPr>
              <w:numPr>
                <w:ilvl w:val="0"/>
                <w:numId w:val="1"/>
              </w:numPr>
              <w:rPr>
                <w:sz w:val="22"/>
                <w:szCs w:val="22"/>
              </w:rPr>
            </w:pPr>
          </w:p>
        </w:tc>
        <w:tc>
          <w:tcPr>
            <w:tcW w:w="1726" w:type="pct"/>
            <w:tcBorders>
              <w:bottom w:val="single" w:sz="4" w:space="0" w:color="auto"/>
            </w:tcBorders>
            <w:vAlign w:val="center"/>
          </w:tcPr>
          <w:p w14:paraId="32022614" w14:textId="77777777" w:rsidR="00701A90" w:rsidRDefault="00701A90" w:rsidP="000A6D4F">
            <w:pPr>
              <w:jc w:val="both"/>
              <w:rPr>
                <w:sz w:val="22"/>
                <w:szCs w:val="22"/>
              </w:rPr>
            </w:pPr>
            <w:r>
              <w:rPr>
                <w:sz w:val="22"/>
                <w:szCs w:val="22"/>
              </w:rPr>
              <w:t>Nav nodrošināta informācijas par:</w:t>
            </w:r>
          </w:p>
          <w:p w14:paraId="177B9114" w14:textId="77777777" w:rsidR="00701A90" w:rsidRDefault="00701A90" w:rsidP="003C2BFB">
            <w:pPr>
              <w:numPr>
                <w:ilvl w:val="0"/>
                <w:numId w:val="15"/>
              </w:numPr>
              <w:jc w:val="both"/>
              <w:rPr>
                <w:sz w:val="22"/>
                <w:szCs w:val="22"/>
              </w:rPr>
            </w:pPr>
            <w:r>
              <w:rPr>
                <w:sz w:val="22"/>
                <w:szCs w:val="22"/>
              </w:rPr>
              <w:t>piedāvājuma iesniegšanas termiņa pagarināšanu publicēšana</w:t>
            </w:r>
          </w:p>
          <w:p w14:paraId="7A796E80" w14:textId="77777777" w:rsidR="00701A90" w:rsidRDefault="00701A90" w:rsidP="000A6D4F">
            <w:pPr>
              <w:jc w:val="both"/>
              <w:rPr>
                <w:sz w:val="22"/>
                <w:szCs w:val="22"/>
              </w:rPr>
            </w:pPr>
            <w:r>
              <w:rPr>
                <w:sz w:val="22"/>
                <w:szCs w:val="22"/>
              </w:rPr>
              <w:t>vai</w:t>
            </w:r>
          </w:p>
          <w:p w14:paraId="1F911438" w14:textId="77777777" w:rsidR="00701A90" w:rsidRPr="007A6537" w:rsidRDefault="00701A90" w:rsidP="003C2BFB">
            <w:pPr>
              <w:numPr>
                <w:ilvl w:val="0"/>
                <w:numId w:val="15"/>
              </w:numPr>
              <w:jc w:val="both"/>
              <w:rPr>
                <w:sz w:val="22"/>
                <w:szCs w:val="22"/>
              </w:rPr>
            </w:pPr>
            <w:r>
              <w:rPr>
                <w:sz w:val="22"/>
                <w:szCs w:val="22"/>
              </w:rPr>
              <w:t xml:space="preserve">termiņa par </w:t>
            </w:r>
            <w:r w:rsidRPr="007A6537">
              <w:rPr>
                <w:sz w:val="22"/>
                <w:szCs w:val="22"/>
              </w:rPr>
              <w:t>pieprasījumu saņemšan</w:t>
            </w:r>
            <w:r>
              <w:rPr>
                <w:sz w:val="22"/>
                <w:szCs w:val="22"/>
              </w:rPr>
              <w:t>u</w:t>
            </w:r>
            <w:r w:rsidRPr="007A6537">
              <w:rPr>
                <w:sz w:val="22"/>
                <w:szCs w:val="22"/>
              </w:rPr>
              <w:t>, lai piedalīt</w:t>
            </w:r>
            <w:r>
              <w:rPr>
                <w:sz w:val="22"/>
                <w:szCs w:val="22"/>
              </w:rPr>
              <w:t>os, pagarināšanu</w:t>
            </w:r>
            <w:r w:rsidRPr="007A6537">
              <w:rPr>
                <w:sz w:val="22"/>
                <w:szCs w:val="22"/>
              </w:rPr>
              <w:t xml:space="preserve"> publicēšana</w:t>
            </w:r>
          </w:p>
          <w:p w14:paraId="1BC17B97" w14:textId="77777777" w:rsidR="00701A90" w:rsidRPr="007A6537" w:rsidRDefault="00701A90" w:rsidP="000A6D4F">
            <w:pPr>
              <w:jc w:val="both"/>
              <w:rPr>
                <w:sz w:val="22"/>
                <w:szCs w:val="22"/>
              </w:rPr>
            </w:pPr>
          </w:p>
          <w:p w14:paraId="68AF2220" w14:textId="77777777" w:rsidR="00701A90" w:rsidRDefault="00701A90" w:rsidP="000A6D4F">
            <w:pPr>
              <w:jc w:val="both"/>
              <w:rPr>
                <w:i/>
                <w:sz w:val="22"/>
                <w:szCs w:val="22"/>
              </w:rPr>
            </w:pPr>
            <w:r w:rsidRPr="006163DC">
              <w:rPr>
                <w:i/>
                <w:sz w:val="22"/>
                <w:szCs w:val="22"/>
              </w:rPr>
              <w:t>Direktīvas Nr.</w:t>
            </w:r>
            <w:r w:rsidR="00B25794">
              <w:rPr>
                <w:i/>
                <w:sz w:val="22"/>
                <w:szCs w:val="22"/>
              </w:rPr>
              <w:t>2014/24/EK 18(1).pants, 47(2).-47(3).pants</w:t>
            </w:r>
          </w:p>
          <w:p w14:paraId="21BD1066" w14:textId="77777777" w:rsidR="00701A90" w:rsidRDefault="00701A90" w:rsidP="000A6D4F">
            <w:pPr>
              <w:jc w:val="both"/>
              <w:rPr>
                <w:i/>
                <w:sz w:val="22"/>
                <w:szCs w:val="22"/>
              </w:rPr>
            </w:pPr>
            <w:r w:rsidRPr="006163DC">
              <w:rPr>
                <w:i/>
                <w:sz w:val="22"/>
                <w:szCs w:val="22"/>
              </w:rPr>
              <w:t>Direktīvas Nr.2004/17/EK</w:t>
            </w:r>
            <w:r>
              <w:rPr>
                <w:i/>
                <w:sz w:val="22"/>
                <w:szCs w:val="22"/>
              </w:rPr>
              <w:t xml:space="preserve"> 10.pants un 45(9).pants</w:t>
            </w:r>
          </w:p>
          <w:p w14:paraId="6D2AECAC" w14:textId="77777777" w:rsidR="00A2172D" w:rsidRDefault="00A2172D" w:rsidP="000A6D4F">
            <w:pPr>
              <w:jc w:val="both"/>
              <w:rPr>
                <w:i/>
                <w:sz w:val="22"/>
                <w:szCs w:val="22"/>
              </w:rPr>
            </w:pPr>
          </w:p>
          <w:p w14:paraId="22C67799" w14:textId="77777777" w:rsidR="00A2172D" w:rsidRPr="00A2172D" w:rsidRDefault="00A2172D" w:rsidP="000A6D4F">
            <w:pPr>
              <w:jc w:val="both"/>
              <w:rPr>
                <w:sz w:val="22"/>
                <w:szCs w:val="22"/>
              </w:rPr>
            </w:pPr>
            <w:r w:rsidRPr="00A2172D">
              <w:rPr>
                <w:sz w:val="22"/>
                <w:szCs w:val="22"/>
              </w:rPr>
              <w:t>(EK 19.12.2013. vadlīniju  2.1.sadaļas 5.punkts)</w:t>
            </w:r>
          </w:p>
          <w:p w14:paraId="32E6FED3" w14:textId="77777777" w:rsidR="00701A90" w:rsidRPr="00D34969" w:rsidRDefault="00701A90" w:rsidP="000A6D4F">
            <w:pPr>
              <w:jc w:val="both"/>
              <w:rPr>
                <w:sz w:val="22"/>
                <w:szCs w:val="22"/>
              </w:rPr>
            </w:pPr>
          </w:p>
        </w:tc>
        <w:tc>
          <w:tcPr>
            <w:tcW w:w="2061" w:type="pct"/>
            <w:tcBorders>
              <w:bottom w:val="single" w:sz="4" w:space="0" w:color="auto"/>
            </w:tcBorders>
          </w:tcPr>
          <w:p w14:paraId="62CAC11D" w14:textId="77777777" w:rsidR="00701A90" w:rsidRPr="00D34969" w:rsidRDefault="00701A90" w:rsidP="001A07CF">
            <w:pPr>
              <w:jc w:val="both"/>
              <w:rPr>
                <w:sz w:val="22"/>
                <w:szCs w:val="22"/>
              </w:rPr>
            </w:pPr>
            <w:r w:rsidRPr="007637DC">
              <w:rPr>
                <w:sz w:val="22"/>
                <w:szCs w:val="22"/>
              </w:rPr>
              <w:t>Termiņ</w:t>
            </w:r>
            <w:r>
              <w:rPr>
                <w:sz w:val="22"/>
                <w:szCs w:val="22"/>
              </w:rPr>
              <w:t>i</w:t>
            </w:r>
            <w:r w:rsidRPr="007637DC">
              <w:rPr>
                <w:sz w:val="22"/>
                <w:szCs w:val="22"/>
              </w:rPr>
              <w:t xml:space="preserve">, kas </w:t>
            </w:r>
            <w:r>
              <w:rPr>
                <w:sz w:val="22"/>
                <w:szCs w:val="22"/>
              </w:rPr>
              <w:t xml:space="preserve">paredzēti </w:t>
            </w:r>
            <w:r w:rsidRPr="007637DC">
              <w:rPr>
                <w:sz w:val="22"/>
                <w:szCs w:val="22"/>
              </w:rPr>
              <w:t xml:space="preserve">piedāvājumu saņemšanai </w:t>
            </w:r>
            <w:r w:rsidRPr="007637DC">
              <w:rPr>
                <w:sz w:val="22"/>
                <w:szCs w:val="22"/>
              </w:rPr>
              <w:br/>
              <w:t xml:space="preserve">(vai </w:t>
            </w:r>
            <w:r w:rsidRPr="007A6537">
              <w:rPr>
                <w:sz w:val="22"/>
                <w:szCs w:val="22"/>
              </w:rPr>
              <w:t>pieprasījumu saņemšan</w:t>
            </w:r>
            <w:r>
              <w:rPr>
                <w:sz w:val="22"/>
                <w:szCs w:val="22"/>
              </w:rPr>
              <w:t>ai</w:t>
            </w:r>
            <w:r w:rsidRPr="007A6537">
              <w:rPr>
                <w:sz w:val="22"/>
                <w:szCs w:val="22"/>
              </w:rPr>
              <w:t>, lai piedalīt</w:t>
            </w:r>
            <w:r>
              <w:rPr>
                <w:sz w:val="22"/>
                <w:szCs w:val="22"/>
              </w:rPr>
              <w:t>os</w:t>
            </w:r>
            <w:r w:rsidRPr="007637DC">
              <w:rPr>
                <w:sz w:val="22"/>
                <w:szCs w:val="22"/>
              </w:rPr>
              <w:t xml:space="preserve">) </w:t>
            </w:r>
            <w:r w:rsidRPr="007637DC">
              <w:rPr>
                <w:sz w:val="22"/>
                <w:szCs w:val="22"/>
              </w:rPr>
              <w:br/>
              <w:t>tika pagarināt</w:t>
            </w:r>
            <w:r>
              <w:rPr>
                <w:sz w:val="22"/>
                <w:szCs w:val="22"/>
              </w:rPr>
              <w:t>i</w:t>
            </w:r>
            <w:r w:rsidRPr="007637DC">
              <w:rPr>
                <w:sz w:val="22"/>
                <w:szCs w:val="22"/>
              </w:rPr>
              <w:t xml:space="preserve"> bez publicēšanas </w:t>
            </w:r>
            <w:r w:rsidRPr="007637DC">
              <w:rPr>
                <w:sz w:val="22"/>
                <w:szCs w:val="22"/>
              </w:rPr>
              <w:br/>
              <w:t xml:space="preserve">saskaņā ar attiecīgajiem noteikumiem </w:t>
            </w:r>
            <w:r w:rsidRPr="007637DC">
              <w:rPr>
                <w:sz w:val="22"/>
                <w:szCs w:val="22"/>
              </w:rPr>
              <w:br/>
              <w:t xml:space="preserve">(piem., publikācija </w:t>
            </w:r>
            <w:r>
              <w:rPr>
                <w:sz w:val="22"/>
                <w:szCs w:val="22"/>
              </w:rPr>
              <w:t>ES Oficiālajā žurnālā</w:t>
            </w:r>
            <w:r w:rsidRPr="007637DC">
              <w:rPr>
                <w:sz w:val="22"/>
                <w:szCs w:val="22"/>
              </w:rPr>
              <w:t xml:space="preserve">, </w:t>
            </w:r>
            <w:r w:rsidR="001A07CF" w:rsidRPr="007637DC">
              <w:rPr>
                <w:sz w:val="22"/>
                <w:szCs w:val="22"/>
              </w:rPr>
              <w:t>ja</w:t>
            </w:r>
            <w:r w:rsidR="001A07CF">
              <w:rPr>
                <w:sz w:val="22"/>
                <w:szCs w:val="22"/>
              </w:rPr>
              <w:t xml:space="preserve"> uz</w:t>
            </w:r>
            <w:r w:rsidRPr="007637DC">
              <w:rPr>
                <w:sz w:val="22"/>
                <w:szCs w:val="22"/>
              </w:rPr>
              <w:br/>
              <w:t xml:space="preserve">publisko iepirkumu attiecas </w:t>
            </w:r>
            <w:r w:rsidRPr="007637DC">
              <w:rPr>
                <w:sz w:val="22"/>
                <w:szCs w:val="22"/>
              </w:rPr>
              <w:br/>
              <w:t>Direktīvas).</w:t>
            </w:r>
          </w:p>
        </w:tc>
        <w:tc>
          <w:tcPr>
            <w:tcW w:w="937" w:type="pct"/>
            <w:gridSpan w:val="2"/>
            <w:tcBorders>
              <w:bottom w:val="single" w:sz="4" w:space="0" w:color="auto"/>
            </w:tcBorders>
            <w:vAlign w:val="center"/>
          </w:tcPr>
          <w:p w14:paraId="175F54EC" w14:textId="77777777" w:rsidR="00701A90" w:rsidRDefault="00701A90" w:rsidP="000A6D4F">
            <w:pPr>
              <w:jc w:val="both"/>
              <w:rPr>
                <w:sz w:val="22"/>
                <w:szCs w:val="22"/>
              </w:rPr>
            </w:pPr>
            <w:r>
              <w:rPr>
                <w:sz w:val="22"/>
                <w:szCs w:val="22"/>
              </w:rPr>
              <w:t>10%</w:t>
            </w:r>
          </w:p>
          <w:p w14:paraId="3F499DFA" w14:textId="77777777" w:rsidR="00701A90" w:rsidRDefault="00701A90" w:rsidP="000A6D4F">
            <w:pPr>
              <w:jc w:val="both"/>
              <w:rPr>
                <w:sz w:val="22"/>
                <w:szCs w:val="22"/>
              </w:rPr>
            </w:pPr>
          </w:p>
          <w:p w14:paraId="063E5B29" w14:textId="77777777" w:rsidR="00701A90" w:rsidRDefault="00701A90" w:rsidP="000A6D4F">
            <w:pPr>
              <w:jc w:val="both"/>
              <w:rPr>
                <w:sz w:val="22"/>
                <w:szCs w:val="22"/>
              </w:rPr>
            </w:pPr>
            <w:r>
              <w:rPr>
                <w:sz w:val="22"/>
                <w:szCs w:val="22"/>
              </w:rPr>
              <w:t>V</w:t>
            </w:r>
            <w:r w:rsidRPr="00565AD8">
              <w:rPr>
                <w:sz w:val="22"/>
                <w:szCs w:val="22"/>
              </w:rPr>
              <w:t xml:space="preserve">ar samazināt uz </w:t>
            </w:r>
            <w:r>
              <w:rPr>
                <w:sz w:val="22"/>
                <w:szCs w:val="22"/>
              </w:rPr>
              <w:t>5%</w:t>
            </w:r>
            <w:r w:rsidRPr="00565AD8">
              <w:rPr>
                <w:sz w:val="22"/>
                <w:szCs w:val="22"/>
              </w:rPr>
              <w:t xml:space="preserve">, atkarībā no </w:t>
            </w:r>
            <w:r>
              <w:rPr>
                <w:sz w:val="22"/>
                <w:szCs w:val="22"/>
              </w:rPr>
              <w:t>neatbilstības būtiskuma.</w:t>
            </w:r>
          </w:p>
          <w:p w14:paraId="213BF77B" w14:textId="77777777" w:rsidR="00701A90" w:rsidRDefault="00701A90" w:rsidP="000A6D4F">
            <w:pPr>
              <w:rPr>
                <w:sz w:val="22"/>
                <w:szCs w:val="22"/>
              </w:rPr>
            </w:pPr>
          </w:p>
          <w:p w14:paraId="1491FD62" w14:textId="77777777" w:rsidR="00701A90" w:rsidRPr="00BB4967" w:rsidRDefault="00701A90" w:rsidP="000A6D4F">
            <w:pPr>
              <w:rPr>
                <w:sz w:val="22"/>
                <w:szCs w:val="22"/>
              </w:rPr>
            </w:pPr>
          </w:p>
          <w:p w14:paraId="3FB247F5" w14:textId="77777777" w:rsidR="00701A90" w:rsidRPr="00BB4967" w:rsidRDefault="00701A90" w:rsidP="000A6D4F">
            <w:pPr>
              <w:rPr>
                <w:sz w:val="22"/>
                <w:szCs w:val="22"/>
              </w:rPr>
            </w:pPr>
          </w:p>
          <w:p w14:paraId="357F540D" w14:textId="77777777" w:rsidR="00701A90" w:rsidRPr="00BB4967" w:rsidRDefault="00701A90" w:rsidP="000A6D4F">
            <w:pPr>
              <w:rPr>
                <w:sz w:val="22"/>
                <w:szCs w:val="22"/>
              </w:rPr>
            </w:pPr>
          </w:p>
        </w:tc>
      </w:tr>
      <w:tr w:rsidR="00701A90" w:rsidRPr="009D07C7" w14:paraId="6390E0F1" w14:textId="77777777" w:rsidTr="000A6D4F">
        <w:tc>
          <w:tcPr>
            <w:tcW w:w="276" w:type="pct"/>
            <w:tcBorders>
              <w:bottom w:val="single" w:sz="4" w:space="0" w:color="auto"/>
            </w:tcBorders>
          </w:tcPr>
          <w:p w14:paraId="4F2F1CD7" w14:textId="77777777" w:rsidR="00701A90" w:rsidRPr="009D07C7" w:rsidRDefault="00701A90" w:rsidP="002679E5">
            <w:pPr>
              <w:numPr>
                <w:ilvl w:val="0"/>
                <w:numId w:val="1"/>
              </w:numPr>
              <w:rPr>
                <w:sz w:val="22"/>
                <w:szCs w:val="22"/>
              </w:rPr>
            </w:pPr>
          </w:p>
        </w:tc>
        <w:tc>
          <w:tcPr>
            <w:tcW w:w="1726" w:type="pct"/>
            <w:tcBorders>
              <w:bottom w:val="single" w:sz="4" w:space="0" w:color="auto"/>
            </w:tcBorders>
          </w:tcPr>
          <w:p w14:paraId="5D7231CE" w14:textId="77777777" w:rsidR="00701A90" w:rsidRDefault="00701A90" w:rsidP="000A6D4F">
            <w:pPr>
              <w:jc w:val="both"/>
              <w:rPr>
                <w:sz w:val="22"/>
                <w:szCs w:val="22"/>
              </w:rPr>
            </w:pPr>
            <w:r w:rsidRPr="007F4E24">
              <w:rPr>
                <w:sz w:val="22"/>
                <w:szCs w:val="22"/>
              </w:rPr>
              <w:t xml:space="preserve">Gadījums, kad </w:t>
            </w:r>
            <w:r w:rsidR="00013DD6">
              <w:rPr>
                <w:sz w:val="22"/>
                <w:szCs w:val="22"/>
              </w:rPr>
              <w:t xml:space="preserve">nepamatoti </w:t>
            </w:r>
            <w:r w:rsidRPr="007F4E24">
              <w:rPr>
                <w:sz w:val="22"/>
                <w:szCs w:val="22"/>
              </w:rPr>
              <w:t>veikt</w:t>
            </w:r>
            <w:r w:rsidR="00013DD6">
              <w:rPr>
                <w:sz w:val="22"/>
                <w:szCs w:val="22"/>
              </w:rPr>
              <w:t>a</w:t>
            </w:r>
            <w:r w:rsidRPr="007F4E24">
              <w:rPr>
                <w:sz w:val="22"/>
                <w:szCs w:val="22"/>
              </w:rPr>
              <w:t xml:space="preserve"> sarunu </w:t>
            </w:r>
            <w:r w:rsidR="00013DD6">
              <w:rPr>
                <w:sz w:val="22"/>
                <w:szCs w:val="22"/>
              </w:rPr>
              <w:t>procedūra</w:t>
            </w:r>
            <w:r w:rsidRPr="007F4E24">
              <w:rPr>
                <w:sz w:val="22"/>
                <w:szCs w:val="22"/>
              </w:rPr>
              <w:t>, iepriekš publicējot paziņojumu par līgumu</w:t>
            </w:r>
          </w:p>
          <w:p w14:paraId="00ED938A" w14:textId="77777777" w:rsidR="00701A90" w:rsidRDefault="00701A90" w:rsidP="000A6D4F">
            <w:pPr>
              <w:jc w:val="both"/>
              <w:rPr>
                <w:sz w:val="22"/>
                <w:szCs w:val="22"/>
              </w:rPr>
            </w:pPr>
          </w:p>
          <w:p w14:paraId="3541D798" w14:textId="77777777" w:rsidR="00701A90" w:rsidRDefault="00701A90" w:rsidP="000A6D4F">
            <w:pPr>
              <w:jc w:val="both"/>
              <w:rPr>
                <w:i/>
                <w:sz w:val="22"/>
                <w:szCs w:val="22"/>
              </w:rPr>
            </w:pPr>
            <w:r w:rsidRPr="006163DC">
              <w:rPr>
                <w:i/>
                <w:sz w:val="22"/>
                <w:szCs w:val="22"/>
              </w:rPr>
              <w:t>Direktīvas Nr.</w:t>
            </w:r>
            <w:r w:rsidR="00B25794">
              <w:rPr>
                <w:i/>
                <w:sz w:val="22"/>
                <w:szCs w:val="22"/>
              </w:rPr>
              <w:t>2014/24/EK 26(4).pants</w:t>
            </w:r>
          </w:p>
          <w:p w14:paraId="39F8C07B" w14:textId="77777777" w:rsidR="00A2172D" w:rsidRDefault="00A2172D" w:rsidP="000A6D4F">
            <w:pPr>
              <w:jc w:val="both"/>
              <w:rPr>
                <w:i/>
                <w:sz w:val="22"/>
                <w:szCs w:val="22"/>
              </w:rPr>
            </w:pPr>
          </w:p>
          <w:p w14:paraId="16FD00FF" w14:textId="77777777" w:rsidR="00A2172D" w:rsidRPr="00D34969" w:rsidRDefault="00A2172D" w:rsidP="00A2172D">
            <w:pPr>
              <w:jc w:val="both"/>
              <w:rPr>
                <w:sz w:val="22"/>
                <w:szCs w:val="22"/>
              </w:rPr>
            </w:pPr>
            <w:r w:rsidRPr="00A2172D">
              <w:rPr>
                <w:sz w:val="22"/>
                <w:szCs w:val="22"/>
              </w:rPr>
              <w:t xml:space="preserve">(EK 19.12.2013. vadlīniju  2.1.sadaļas </w:t>
            </w:r>
            <w:r>
              <w:rPr>
                <w:sz w:val="22"/>
                <w:szCs w:val="22"/>
              </w:rPr>
              <w:t>6</w:t>
            </w:r>
            <w:r w:rsidRPr="00A2172D">
              <w:rPr>
                <w:sz w:val="22"/>
                <w:szCs w:val="22"/>
              </w:rPr>
              <w:t>.punkts)</w:t>
            </w:r>
          </w:p>
        </w:tc>
        <w:tc>
          <w:tcPr>
            <w:tcW w:w="2061" w:type="pct"/>
            <w:tcBorders>
              <w:bottom w:val="single" w:sz="4" w:space="0" w:color="auto"/>
            </w:tcBorders>
            <w:vAlign w:val="center"/>
          </w:tcPr>
          <w:p w14:paraId="031BEB64" w14:textId="77777777" w:rsidR="00701A90" w:rsidRPr="00D34969" w:rsidRDefault="00701A90" w:rsidP="000A6D4F">
            <w:pPr>
              <w:jc w:val="both"/>
              <w:rPr>
                <w:sz w:val="22"/>
                <w:szCs w:val="22"/>
              </w:rPr>
            </w:pPr>
            <w:r>
              <w:rPr>
                <w:sz w:val="22"/>
                <w:szCs w:val="22"/>
              </w:rPr>
              <w:t>Līgumslēdzēja iestāde</w:t>
            </w:r>
            <w:r w:rsidRPr="007F4E24">
              <w:rPr>
                <w:sz w:val="22"/>
                <w:szCs w:val="22"/>
              </w:rPr>
              <w:t xml:space="preserve"> piešķir </w:t>
            </w:r>
            <w:r w:rsidRPr="007F4E24">
              <w:rPr>
                <w:sz w:val="22"/>
                <w:szCs w:val="22"/>
              </w:rPr>
              <w:br/>
              <w:t>publisko līgumu, piemērojot sarunu procedūru  pēc paziņojuma par līgumu publicēšanas, bet šāda procedūra nav pamatojama ar attiecīgajiem noteikumiem.</w:t>
            </w:r>
            <w:r>
              <w:rPr>
                <w:rStyle w:val="hps"/>
                <w:rFonts w:ascii="Arial" w:hAnsi="Arial" w:cs="Arial"/>
                <w:color w:val="222222"/>
              </w:rPr>
              <w:t xml:space="preserve"> </w:t>
            </w:r>
            <w:r>
              <w:rPr>
                <w:rFonts w:ascii="Arial" w:hAnsi="Arial" w:cs="Arial"/>
                <w:color w:val="222222"/>
              </w:rPr>
              <w:t xml:space="preserve"> </w:t>
            </w:r>
            <w:r>
              <w:rPr>
                <w:rFonts w:ascii="Arial" w:hAnsi="Arial" w:cs="Arial"/>
                <w:color w:val="222222"/>
              </w:rPr>
              <w:br/>
            </w:r>
          </w:p>
        </w:tc>
        <w:tc>
          <w:tcPr>
            <w:tcW w:w="937" w:type="pct"/>
            <w:gridSpan w:val="2"/>
            <w:tcBorders>
              <w:bottom w:val="single" w:sz="4" w:space="0" w:color="auto"/>
            </w:tcBorders>
            <w:vAlign w:val="center"/>
          </w:tcPr>
          <w:p w14:paraId="61220A02" w14:textId="77777777" w:rsidR="00701A90" w:rsidRPr="00565AD8" w:rsidRDefault="00701A90" w:rsidP="000A6D4F">
            <w:pPr>
              <w:jc w:val="both"/>
              <w:rPr>
                <w:sz w:val="22"/>
                <w:szCs w:val="22"/>
              </w:rPr>
            </w:pPr>
            <w:r>
              <w:rPr>
                <w:sz w:val="22"/>
                <w:szCs w:val="22"/>
              </w:rPr>
              <w:t>25</w:t>
            </w:r>
            <w:r w:rsidRPr="00565AD8">
              <w:rPr>
                <w:sz w:val="22"/>
                <w:szCs w:val="22"/>
              </w:rPr>
              <w:t>%</w:t>
            </w:r>
          </w:p>
          <w:p w14:paraId="71E6CEC9" w14:textId="77777777" w:rsidR="00701A90" w:rsidRPr="00565AD8" w:rsidRDefault="00701A90" w:rsidP="000A6D4F">
            <w:pPr>
              <w:jc w:val="both"/>
              <w:rPr>
                <w:sz w:val="22"/>
                <w:szCs w:val="22"/>
              </w:rPr>
            </w:pPr>
          </w:p>
          <w:p w14:paraId="3E97E09E" w14:textId="77777777" w:rsidR="00701A90" w:rsidRPr="00D34969" w:rsidRDefault="00701A90" w:rsidP="000A6D4F">
            <w:pPr>
              <w:jc w:val="both"/>
              <w:rPr>
                <w:sz w:val="22"/>
                <w:szCs w:val="22"/>
              </w:rPr>
            </w:pPr>
            <w:r w:rsidRPr="00565AD8">
              <w:rPr>
                <w:sz w:val="22"/>
                <w:szCs w:val="22"/>
              </w:rPr>
              <w:t xml:space="preserve">Var samazināt uz </w:t>
            </w:r>
            <w:r>
              <w:rPr>
                <w:sz w:val="22"/>
                <w:szCs w:val="22"/>
              </w:rPr>
              <w:t xml:space="preserve">10% vai </w:t>
            </w:r>
            <w:r w:rsidRPr="00565AD8">
              <w:rPr>
                <w:sz w:val="22"/>
                <w:szCs w:val="22"/>
              </w:rPr>
              <w:t xml:space="preserve">5%, atkarībā no </w:t>
            </w:r>
            <w:r>
              <w:rPr>
                <w:sz w:val="22"/>
                <w:szCs w:val="22"/>
              </w:rPr>
              <w:t>neatbilstības būtiskuma.</w:t>
            </w:r>
          </w:p>
        </w:tc>
      </w:tr>
      <w:tr w:rsidR="00701A90" w:rsidRPr="009D07C7" w14:paraId="221EB169" w14:textId="77777777" w:rsidTr="000A6D4F">
        <w:tc>
          <w:tcPr>
            <w:tcW w:w="276" w:type="pct"/>
            <w:tcBorders>
              <w:bottom w:val="single" w:sz="4" w:space="0" w:color="auto"/>
            </w:tcBorders>
          </w:tcPr>
          <w:p w14:paraId="48126BB2" w14:textId="77777777" w:rsidR="00701A90" w:rsidRPr="009D07C7" w:rsidRDefault="00701A90" w:rsidP="002679E5">
            <w:pPr>
              <w:numPr>
                <w:ilvl w:val="0"/>
                <w:numId w:val="1"/>
              </w:numPr>
              <w:rPr>
                <w:sz w:val="22"/>
                <w:szCs w:val="22"/>
              </w:rPr>
            </w:pPr>
          </w:p>
        </w:tc>
        <w:tc>
          <w:tcPr>
            <w:tcW w:w="1726" w:type="pct"/>
            <w:tcBorders>
              <w:bottom w:val="single" w:sz="4" w:space="0" w:color="auto"/>
            </w:tcBorders>
          </w:tcPr>
          <w:p w14:paraId="05BA65F5" w14:textId="77777777" w:rsidR="00701A90" w:rsidRDefault="00701A90" w:rsidP="000A6D4F">
            <w:pPr>
              <w:jc w:val="both"/>
              <w:rPr>
                <w:sz w:val="22"/>
                <w:szCs w:val="22"/>
              </w:rPr>
            </w:pPr>
            <w:r>
              <w:rPr>
                <w:sz w:val="22"/>
                <w:szCs w:val="22"/>
              </w:rPr>
              <w:t xml:space="preserve">Nepietiekams pamatojums </w:t>
            </w:r>
            <w:r w:rsidR="00A33DD9">
              <w:rPr>
                <w:sz w:val="22"/>
                <w:szCs w:val="22"/>
              </w:rPr>
              <w:t xml:space="preserve">iepirkuma </w:t>
            </w:r>
            <w:r>
              <w:rPr>
                <w:sz w:val="22"/>
                <w:szCs w:val="22"/>
              </w:rPr>
              <w:t>paziņojuma nepublicēšanai, iepirkuma</w:t>
            </w:r>
            <w:r w:rsidR="00A33DD9">
              <w:rPr>
                <w:sz w:val="22"/>
                <w:szCs w:val="22"/>
              </w:rPr>
              <w:t>m</w:t>
            </w:r>
            <w:r>
              <w:rPr>
                <w:sz w:val="22"/>
                <w:szCs w:val="22"/>
              </w:rPr>
              <w:t xml:space="preserve"> saistībā ar aizsardzību un drošību saskaņā ar Direktīvu 2009/81/EC</w:t>
            </w:r>
          </w:p>
          <w:p w14:paraId="5AE616C2" w14:textId="77777777" w:rsidR="00701A90" w:rsidRDefault="00701A90" w:rsidP="000A6D4F">
            <w:pPr>
              <w:rPr>
                <w:sz w:val="22"/>
                <w:szCs w:val="22"/>
              </w:rPr>
            </w:pPr>
          </w:p>
          <w:p w14:paraId="4803F781" w14:textId="03FA7661" w:rsidR="00701A90" w:rsidRDefault="00701A90" w:rsidP="000A6D4F">
            <w:pPr>
              <w:rPr>
                <w:i/>
                <w:sz w:val="22"/>
                <w:szCs w:val="22"/>
              </w:rPr>
            </w:pPr>
            <w:r w:rsidRPr="00B4128C">
              <w:rPr>
                <w:i/>
                <w:sz w:val="22"/>
                <w:szCs w:val="22"/>
              </w:rPr>
              <w:t xml:space="preserve">Direktīva </w:t>
            </w:r>
            <w:r w:rsidR="003F5406">
              <w:rPr>
                <w:i/>
                <w:sz w:val="22"/>
                <w:szCs w:val="22"/>
              </w:rPr>
              <w:t>Nr.</w:t>
            </w:r>
            <w:r w:rsidRPr="00B4128C">
              <w:rPr>
                <w:i/>
                <w:sz w:val="22"/>
                <w:szCs w:val="22"/>
              </w:rPr>
              <w:t>2009/81/EC</w:t>
            </w:r>
          </w:p>
          <w:p w14:paraId="5B3AE056" w14:textId="77777777" w:rsidR="00A2172D" w:rsidRDefault="00A2172D" w:rsidP="000A6D4F">
            <w:pPr>
              <w:rPr>
                <w:i/>
                <w:sz w:val="22"/>
                <w:szCs w:val="22"/>
              </w:rPr>
            </w:pPr>
          </w:p>
          <w:p w14:paraId="7CBD203A" w14:textId="77777777" w:rsidR="00A2172D" w:rsidRPr="00A2172D" w:rsidRDefault="00A2172D" w:rsidP="00A2172D">
            <w:pPr>
              <w:rPr>
                <w:sz w:val="22"/>
                <w:szCs w:val="22"/>
              </w:rPr>
            </w:pPr>
            <w:r w:rsidRPr="00A2172D">
              <w:rPr>
                <w:sz w:val="22"/>
                <w:szCs w:val="22"/>
              </w:rPr>
              <w:t xml:space="preserve">(EK 19.12.2013. vadlīniju  2.1.sadaļas </w:t>
            </w:r>
            <w:r>
              <w:rPr>
                <w:sz w:val="22"/>
                <w:szCs w:val="22"/>
              </w:rPr>
              <w:t>7</w:t>
            </w:r>
            <w:r w:rsidRPr="00A2172D">
              <w:rPr>
                <w:sz w:val="22"/>
                <w:szCs w:val="22"/>
              </w:rPr>
              <w:t>.punkts)</w:t>
            </w:r>
          </w:p>
        </w:tc>
        <w:tc>
          <w:tcPr>
            <w:tcW w:w="2061" w:type="pct"/>
            <w:tcBorders>
              <w:bottom w:val="single" w:sz="4" w:space="0" w:color="auto"/>
            </w:tcBorders>
            <w:vAlign w:val="center"/>
          </w:tcPr>
          <w:p w14:paraId="7E8A3ADE" w14:textId="77777777" w:rsidR="00701A90" w:rsidRPr="00D34969" w:rsidRDefault="00701A90" w:rsidP="004F0714">
            <w:pPr>
              <w:jc w:val="both"/>
              <w:rPr>
                <w:sz w:val="22"/>
                <w:szCs w:val="22"/>
              </w:rPr>
            </w:pPr>
            <w:r w:rsidRPr="009A6CFC">
              <w:rPr>
                <w:sz w:val="22"/>
                <w:szCs w:val="22"/>
              </w:rPr>
              <w:t xml:space="preserve">Līgumslēdzēja iestāde, piešķir </w:t>
            </w:r>
            <w:r w:rsidRPr="009A6CFC">
              <w:rPr>
                <w:sz w:val="22"/>
                <w:szCs w:val="22"/>
              </w:rPr>
              <w:br/>
              <w:t xml:space="preserve">publiskā </w:t>
            </w:r>
            <w:r w:rsidR="00013DD6">
              <w:rPr>
                <w:sz w:val="22"/>
                <w:szCs w:val="22"/>
              </w:rPr>
              <w:t xml:space="preserve">iepirkuma </w:t>
            </w:r>
            <w:r w:rsidRPr="009A6CFC">
              <w:rPr>
                <w:sz w:val="22"/>
                <w:szCs w:val="22"/>
              </w:rPr>
              <w:t>līgums aizsardzības</w:t>
            </w:r>
            <w:r w:rsidR="001A07CF">
              <w:rPr>
                <w:sz w:val="22"/>
                <w:szCs w:val="22"/>
              </w:rPr>
              <w:t xml:space="preserve"> </w:t>
            </w:r>
            <w:r w:rsidR="00013DD6">
              <w:rPr>
                <w:sz w:val="22"/>
                <w:szCs w:val="22"/>
              </w:rPr>
              <w:t>vai</w:t>
            </w:r>
            <w:r w:rsidR="001A07CF">
              <w:rPr>
                <w:sz w:val="22"/>
                <w:szCs w:val="22"/>
              </w:rPr>
              <w:t xml:space="preserve"> drošības</w:t>
            </w:r>
            <w:r w:rsidRPr="009A6CFC">
              <w:rPr>
                <w:sz w:val="22"/>
                <w:szCs w:val="22"/>
              </w:rPr>
              <w:t xml:space="preserve"> jomā</w:t>
            </w:r>
            <w:r w:rsidRPr="009A6CFC">
              <w:rPr>
                <w:sz w:val="22"/>
                <w:szCs w:val="22"/>
              </w:rPr>
              <w:br/>
              <w:t xml:space="preserve">, izmantojot </w:t>
            </w:r>
            <w:r w:rsidRPr="009A6CFC">
              <w:rPr>
                <w:sz w:val="22"/>
                <w:szCs w:val="22"/>
              </w:rPr>
              <w:br/>
              <w:t xml:space="preserve">konkursa dialogu vai sarunu procedūru bez </w:t>
            </w:r>
            <w:r w:rsidR="00A33DD9">
              <w:rPr>
                <w:sz w:val="22"/>
                <w:szCs w:val="22"/>
              </w:rPr>
              <w:t>paziņojuma publicēšana</w:t>
            </w:r>
            <w:r w:rsidRPr="009A6CFC">
              <w:rPr>
                <w:sz w:val="22"/>
                <w:szCs w:val="22"/>
              </w:rPr>
              <w:t xml:space="preserve"> par līgumu</w:t>
            </w:r>
            <w:r>
              <w:rPr>
                <w:sz w:val="22"/>
                <w:szCs w:val="22"/>
              </w:rPr>
              <w:t xml:space="preserve">, bet nav pamatojuma </w:t>
            </w:r>
            <w:r w:rsidR="001A07CF">
              <w:rPr>
                <w:sz w:val="22"/>
                <w:szCs w:val="22"/>
              </w:rPr>
              <w:t xml:space="preserve">šādas procedūras </w:t>
            </w:r>
            <w:r>
              <w:rPr>
                <w:sz w:val="22"/>
                <w:szCs w:val="22"/>
              </w:rPr>
              <w:t xml:space="preserve">izmantošanai. </w:t>
            </w:r>
          </w:p>
        </w:tc>
        <w:tc>
          <w:tcPr>
            <w:tcW w:w="937" w:type="pct"/>
            <w:gridSpan w:val="2"/>
            <w:tcBorders>
              <w:bottom w:val="single" w:sz="4" w:space="0" w:color="auto"/>
            </w:tcBorders>
            <w:vAlign w:val="center"/>
          </w:tcPr>
          <w:p w14:paraId="180142C6" w14:textId="77777777" w:rsidR="00701A90" w:rsidRPr="00565AD8" w:rsidRDefault="00701A90" w:rsidP="000A6D4F">
            <w:pPr>
              <w:jc w:val="both"/>
              <w:rPr>
                <w:sz w:val="22"/>
                <w:szCs w:val="22"/>
              </w:rPr>
            </w:pPr>
            <w:r>
              <w:rPr>
                <w:sz w:val="22"/>
                <w:szCs w:val="22"/>
              </w:rPr>
              <w:t>100</w:t>
            </w:r>
            <w:r w:rsidRPr="00565AD8">
              <w:rPr>
                <w:sz w:val="22"/>
                <w:szCs w:val="22"/>
              </w:rPr>
              <w:t>%</w:t>
            </w:r>
          </w:p>
          <w:p w14:paraId="036B5D9B" w14:textId="77777777" w:rsidR="00701A90" w:rsidRPr="00565AD8" w:rsidRDefault="00701A90" w:rsidP="000A6D4F">
            <w:pPr>
              <w:jc w:val="both"/>
              <w:rPr>
                <w:sz w:val="22"/>
                <w:szCs w:val="22"/>
              </w:rPr>
            </w:pPr>
          </w:p>
          <w:p w14:paraId="48F2B536" w14:textId="77777777" w:rsidR="00701A90" w:rsidRPr="00D34969" w:rsidRDefault="00701A90" w:rsidP="000A6D4F">
            <w:pPr>
              <w:jc w:val="both"/>
              <w:rPr>
                <w:sz w:val="22"/>
                <w:szCs w:val="22"/>
              </w:rPr>
            </w:pPr>
            <w:r w:rsidRPr="00565AD8">
              <w:rPr>
                <w:sz w:val="22"/>
                <w:szCs w:val="22"/>
              </w:rPr>
              <w:t xml:space="preserve">Var samazināt uz </w:t>
            </w:r>
            <w:r>
              <w:rPr>
                <w:sz w:val="22"/>
                <w:szCs w:val="22"/>
              </w:rPr>
              <w:t xml:space="preserve">25%, </w:t>
            </w:r>
            <w:r w:rsidRPr="00565AD8">
              <w:rPr>
                <w:sz w:val="22"/>
                <w:szCs w:val="22"/>
              </w:rPr>
              <w:t xml:space="preserve">10% vai 5%, atkarībā no </w:t>
            </w:r>
            <w:r>
              <w:rPr>
                <w:sz w:val="22"/>
                <w:szCs w:val="22"/>
              </w:rPr>
              <w:t>neatbilstības būtiskuma.</w:t>
            </w:r>
          </w:p>
        </w:tc>
      </w:tr>
      <w:tr w:rsidR="00701A90" w:rsidRPr="009D07C7" w14:paraId="420507FC" w14:textId="77777777" w:rsidTr="000A6D4F">
        <w:tc>
          <w:tcPr>
            <w:tcW w:w="276" w:type="pct"/>
            <w:tcBorders>
              <w:bottom w:val="single" w:sz="4" w:space="0" w:color="auto"/>
            </w:tcBorders>
          </w:tcPr>
          <w:p w14:paraId="0E88C5FD" w14:textId="77777777" w:rsidR="00701A90" w:rsidRPr="009D07C7" w:rsidRDefault="00701A90" w:rsidP="002679E5">
            <w:pPr>
              <w:numPr>
                <w:ilvl w:val="0"/>
                <w:numId w:val="1"/>
              </w:numPr>
              <w:rPr>
                <w:sz w:val="22"/>
                <w:szCs w:val="22"/>
              </w:rPr>
            </w:pPr>
          </w:p>
        </w:tc>
        <w:tc>
          <w:tcPr>
            <w:tcW w:w="1726" w:type="pct"/>
            <w:tcBorders>
              <w:bottom w:val="single" w:sz="4" w:space="0" w:color="auto"/>
            </w:tcBorders>
            <w:vAlign w:val="center"/>
          </w:tcPr>
          <w:p w14:paraId="30204145" w14:textId="77777777" w:rsidR="00701A90" w:rsidRDefault="00701A90" w:rsidP="000A6D4F">
            <w:pPr>
              <w:autoSpaceDE w:val="0"/>
              <w:autoSpaceDN w:val="0"/>
              <w:adjustRightInd w:val="0"/>
              <w:rPr>
                <w:sz w:val="22"/>
                <w:szCs w:val="22"/>
              </w:rPr>
            </w:pPr>
            <w:r>
              <w:rPr>
                <w:sz w:val="22"/>
                <w:szCs w:val="22"/>
              </w:rPr>
              <w:t>Nav norādīti:</w:t>
            </w:r>
          </w:p>
          <w:p w14:paraId="6074BD0B" w14:textId="77777777" w:rsidR="00701A90" w:rsidRDefault="00701A90" w:rsidP="003C2BFB">
            <w:pPr>
              <w:numPr>
                <w:ilvl w:val="0"/>
                <w:numId w:val="16"/>
              </w:numPr>
              <w:autoSpaceDE w:val="0"/>
              <w:autoSpaceDN w:val="0"/>
              <w:adjustRightInd w:val="0"/>
              <w:rPr>
                <w:sz w:val="22"/>
                <w:szCs w:val="22"/>
              </w:rPr>
            </w:pPr>
            <w:r>
              <w:rPr>
                <w:sz w:val="22"/>
                <w:szCs w:val="22"/>
              </w:rPr>
              <w:t xml:space="preserve">atlases kritēriji konkursa </w:t>
            </w:r>
            <w:r w:rsidRPr="002F055B">
              <w:rPr>
                <w:sz w:val="22"/>
                <w:szCs w:val="22"/>
              </w:rPr>
              <w:t>paziņojumā</w:t>
            </w:r>
            <w:r>
              <w:rPr>
                <w:sz w:val="22"/>
                <w:szCs w:val="22"/>
              </w:rPr>
              <w:t>;</w:t>
            </w:r>
          </w:p>
          <w:p w14:paraId="79854C0C" w14:textId="77777777" w:rsidR="00701A90" w:rsidRDefault="00701A90" w:rsidP="000A6D4F">
            <w:pPr>
              <w:autoSpaceDE w:val="0"/>
              <w:autoSpaceDN w:val="0"/>
              <w:adjustRightInd w:val="0"/>
              <w:rPr>
                <w:sz w:val="22"/>
                <w:szCs w:val="22"/>
              </w:rPr>
            </w:pPr>
          </w:p>
          <w:p w14:paraId="09C36EA2" w14:textId="77777777" w:rsidR="00701A90" w:rsidRDefault="00F928D4" w:rsidP="000A6D4F">
            <w:pPr>
              <w:autoSpaceDE w:val="0"/>
              <w:autoSpaceDN w:val="0"/>
              <w:adjustRightInd w:val="0"/>
              <w:rPr>
                <w:sz w:val="22"/>
                <w:szCs w:val="22"/>
              </w:rPr>
            </w:pPr>
            <w:r>
              <w:rPr>
                <w:sz w:val="22"/>
                <w:szCs w:val="22"/>
              </w:rPr>
              <w:t>un/vai</w:t>
            </w:r>
          </w:p>
          <w:p w14:paraId="29780383" w14:textId="77777777" w:rsidR="00701A90" w:rsidRDefault="00701A90" w:rsidP="000A6D4F">
            <w:pPr>
              <w:autoSpaceDE w:val="0"/>
              <w:autoSpaceDN w:val="0"/>
              <w:adjustRightInd w:val="0"/>
              <w:rPr>
                <w:sz w:val="22"/>
                <w:szCs w:val="22"/>
              </w:rPr>
            </w:pPr>
          </w:p>
          <w:p w14:paraId="7C2B7714" w14:textId="77777777" w:rsidR="00701A90" w:rsidRDefault="00701A90" w:rsidP="003C2BFB">
            <w:pPr>
              <w:numPr>
                <w:ilvl w:val="0"/>
                <w:numId w:val="16"/>
              </w:numPr>
              <w:autoSpaceDE w:val="0"/>
              <w:autoSpaceDN w:val="0"/>
              <w:adjustRightInd w:val="0"/>
              <w:jc w:val="both"/>
              <w:rPr>
                <w:sz w:val="22"/>
                <w:szCs w:val="22"/>
              </w:rPr>
            </w:pPr>
            <w:r>
              <w:rPr>
                <w:sz w:val="22"/>
                <w:szCs w:val="22"/>
              </w:rPr>
              <w:t xml:space="preserve">Vērtēšanas kritēriji (un to novērtēšanas skala/ svars) konkursa paziņojumā vai dokumentācijā </w:t>
            </w:r>
          </w:p>
          <w:p w14:paraId="2A8426D7" w14:textId="77777777" w:rsidR="00701A90" w:rsidRDefault="00701A90" w:rsidP="000A6D4F">
            <w:pPr>
              <w:autoSpaceDE w:val="0"/>
              <w:autoSpaceDN w:val="0"/>
              <w:adjustRightInd w:val="0"/>
              <w:jc w:val="both"/>
              <w:rPr>
                <w:i/>
                <w:sz w:val="22"/>
                <w:szCs w:val="22"/>
              </w:rPr>
            </w:pPr>
          </w:p>
          <w:p w14:paraId="2AD2C13A" w14:textId="1A115DAE" w:rsidR="008B44C9" w:rsidRDefault="00701A90" w:rsidP="008B44C9">
            <w:pPr>
              <w:autoSpaceDE w:val="0"/>
              <w:autoSpaceDN w:val="0"/>
              <w:adjustRightInd w:val="0"/>
              <w:jc w:val="both"/>
              <w:rPr>
                <w:i/>
                <w:sz w:val="22"/>
                <w:szCs w:val="22"/>
              </w:rPr>
            </w:pPr>
            <w:r w:rsidRPr="006163DC">
              <w:rPr>
                <w:i/>
                <w:sz w:val="22"/>
                <w:szCs w:val="22"/>
              </w:rPr>
              <w:t>Direktīvas Nr.</w:t>
            </w:r>
            <w:r w:rsidR="008B44C9">
              <w:rPr>
                <w:i/>
                <w:sz w:val="22"/>
                <w:szCs w:val="22"/>
              </w:rPr>
              <w:t>2014/24/EK  36(2).pants, 48(1).pants, 49.pants, 50(1).-50(3).pants, 51(1).pants, 51(3).pants, 51(5).panta 1. un 2.daļa, 52.pants, 56(1).panta 1.daļa, 57.-58.pants,</w:t>
            </w:r>
            <w:r w:rsidR="00311A01">
              <w:rPr>
                <w:i/>
                <w:sz w:val="22"/>
                <w:szCs w:val="22"/>
              </w:rPr>
              <w:t xml:space="preserve"> </w:t>
            </w:r>
            <w:r w:rsidR="008B44C9">
              <w:rPr>
                <w:i/>
                <w:sz w:val="22"/>
                <w:szCs w:val="22"/>
              </w:rPr>
              <w:t xml:space="preserve">60.pants, 62.-63.pants, 65.pants, 66.-67.pants; </w:t>
            </w:r>
            <w:r w:rsidR="009B63CD" w:rsidRPr="009B63CD">
              <w:rPr>
                <w:i/>
                <w:sz w:val="22"/>
                <w:szCs w:val="22"/>
              </w:rPr>
              <w:t>V pielikuma</w:t>
            </w:r>
            <w:r w:rsidR="009B63CD">
              <w:rPr>
                <w:i/>
                <w:sz w:val="22"/>
                <w:szCs w:val="22"/>
              </w:rPr>
              <w:t xml:space="preserve"> C un D</w:t>
            </w:r>
            <w:r w:rsidR="00006D15">
              <w:rPr>
                <w:i/>
                <w:sz w:val="22"/>
                <w:szCs w:val="22"/>
              </w:rPr>
              <w:t xml:space="preserve"> </w:t>
            </w:r>
            <w:r w:rsidR="009B63CD">
              <w:rPr>
                <w:i/>
                <w:sz w:val="22"/>
                <w:szCs w:val="22"/>
              </w:rPr>
              <w:t>daļa.</w:t>
            </w:r>
          </w:p>
          <w:p w14:paraId="724B8D9B" w14:textId="77777777" w:rsidR="00701A90" w:rsidRDefault="00701A90" w:rsidP="008B44C9">
            <w:pPr>
              <w:autoSpaceDE w:val="0"/>
              <w:autoSpaceDN w:val="0"/>
              <w:adjustRightInd w:val="0"/>
              <w:jc w:val="both"/>
              <w:rPr>
                <w:i/>
                <w:sz w:val="22"/>
                <w:szCs w:val="22"/>
              </w:rPr>
            </w:pPr>
          </w:p>
          <w:p w14:paraId="578474B5" w14:textId="77777777" w:rsidR="00A2172D" w:rsidRDefault="00A2172D" w:rsidP="000A6D4F">
            <w:pPr>
              <w:autoSpaceDE w:val="0"/>
              <w:autoSpaceDN w:val="0"/>
              <w:adjustRightInd w:val="0"/>
              <w:jc w:val="both"/>
              <w:rPr>
                <w:i/>
                <w:sz w:val="22"/>
                <w:szCs w:val="22"/>
              </w:rPr>
            </w:pPr>
          </w:p>
          <w:p w14:paraId="0F7E3845" w14:textId="77777777" w:rsidR="00A2172D" w:rsidRPr="00A2172D" w:rsidRDefault="00A2172D" w:rsidP="00A2172D">
            <w:pPr>
              <w:autoSpaceDE w:val="0"/>
              <w:autoSpaceDN w:val="0"/>
              <w:adjustRightInd w:val="0"/>
              <w:jc w:val="both"/>
              <w:rPr>
                <w:sz w:val="22"/>
                <w:szCs w:val="22"/>
              </w:rPr>
            </w:pPr>
            <w:r w:rsidRPr="00A2172D">
              <w:rPr>
                <w:sz w:val="22"/>
                <w:szCs w:val="22"/>
              </w:rPr>
              <w:t>(EK 19.12.2013. vadlīniju  2.1.sadaļas 8.punkts)</w:t>
            </w:r>
          </w:p>
        </w:tc>
        <w:tc>
          <w:tcPr>
            <w:tcW w:w="2061" w:type="pct"/>
            <w:tcBorders>
              <w:bottom w:val="single" w:sz="4" w:space="0" w:color="auto"/>
            </w:tcBorders>
          </w:tcPr>
          <w:p w14:paraId="784173D9" w14:textId="77777777" w:rsidR="00701A90" w:rsidRDefault="00701A90" w:rsidP="000A6D4F">
            <w:pPr>
              <w:jc w:val="both"/>
              <w:rPr>
                <w:sz w:val="22"/>
                <w:szCs w:val="22"/>
              </w:rPr>
            </w:pPr>
            <w:r>
              <w:rPr>
                <w:sz w:val="22"/>
                <w:szCs w:val="22"/>
              </w:rPr>
              <w:t>Paziņojumā par līgumu nav noteikti atlases kritēriji.</w:t>
            </w:r>
          </w:p>
          <w:p w14:paraId="0206424C" w14:textId="77777777" w:rsidR="00701A90" w:rsidRDefault="00701A90" w:rsidP="000A6D4F">
            <w:pPr>
              <w:jc w:val="both"/>
              <w:rPr>
                <w:sz w:val="22"/>
                <w:szCs w:val="22"/>
              </w:rPr>
            </w:pPr>
          </w:p>
          <w:p w14:paraId="452A17D4" w14:textId="77777777" w:rsidR="00701A90" w:rsidRDefault="00623DD4" w:rsidP="000A6D4F">
            <w:pPr>
              <w:jc w:val="both"/>
              <w:rPr>
                <w:sz w:val="22"/>
                <w:szCs w:val="22"/>
              </w:rPr>
            </w:pPr>
            <w:r>
              <w:rPr>
                <w:sz w:val="22"/>
                <w:szCs w:val="22"/>
              </w:rPr>
              <w:t>u</w:t>
            </w:r>
            <w:r w:rsidR="00701A90">
              <w:rPr>
                <w:sz w:val="22"/>
                <w:szCs w:val="22"/>
              </w:rPr>
              <w:t>n/vai</w:t>
            </w:r>
          </w:p>
          <w:p w14:paraId="7AE0FF06" w14:textId="77777777" w:rsidR="00701A90" w:rsidRDefault="00701A90" w:rsidP="000A6D4F">
            <w:pPr>
              <w:jc w:val="both"/>
              <w:rPr>
                <w:sz w:val="22"/>
                <w:szCs w:val="22"/>
              </w:rPr>
            </w:pPr>
          </w:p>
          <w:p w14:paraId="24A48650" w14:textId="77777777" w:rsidR="00701A90" w:rsidRPr="00D34969" w:rsidRDefault="00701A90" w:rsidP="000A6D4F">
            <w:pPr>
              <w:jc w:val="both"/>
              <w:rPr>
                <w:sz w:val="22"/>
                <w:szCs w:val="22"/>
              </w:rPr>
            </w:pPr>
            <w:r>
              <w:rPr>
                <w:sz w:val="22"/>
                <w:szCs w:val="22"/>
              </w:rPr>
              <w:t>Ne konkursa paziņojumā, ne iepirkuma dokumentācijā nav pietiekamā detalizācijā aprakstīti vērtēšanas kritēriji, kā arī to novērtēšanas skala</w:t>
            </w:r>
            <w:r w:rsidR="00623DD4">
              <w:rPr>
                <w:sz w:val="22"/>
                <w:szCs w:val="22"/>
              </w:rPr>
              <w:t xml:space="preserve"> </w:t>
            </w:r>
            <w:r>
              <w:rPr>
                <w:sz w:val="22"/>
                <w:szCs w:val="22"/>
              </w:rPr>
              <w:t>/</w:t>
            </w:r>
            <w:r w:rsidR="00623DD4">
              <w:rPr>
                <w:sz w:val="22"/>
                <w:szCs w:val="22"/>
              </w:rPr>
              <w:t xml:space="preserve"> </w:t>
            </w:r>
            <w:r>
              <w:rPr>
                <w:sz w:val="22"/>
                <w:szCs w:val="22"/>
              </w:rPr>
              <w:t xml:space="preserve">svars. </w:t>
            </w:r>
          </w:p>
        </w:tc>
        <w:tc>
          <w:tcPr>
            <w:tcW w:w="937" w:type="pct"/>
            <w:gridSpan w:val="2"/>
            <w:tcBorders>
              <w:bottom w:val="single" w:sz="4" w:space="0" w:color="auto"/>
            </w:tcBorders>
            <w:vAlign w:val="center"/>
          </w:tcPr>
          <w:p w14:paraId="56C16BB9" w14:textId="77777777" w:rsidR="00701A90" w:rsidRPr="00565AD8" w:rsidRDefault="00701A90" w:rsidP="000A6D4F">
            <w:pPr>
              <w:jc w:val="both"/>
              <w:rPr>
                <w:sz w:val="22"/>
                <w:szCs w:val="22"/>
              </w:rPr>
            </w:pPr>
            <w:r w:rsidRPr="00565AD8">
              <w:rPr>
                <w:sz w:val="22"/>
                <w:szCs w:val="22"/>
              </w:rPr>
              <w:t>25%</w:t>
            </w:r>
          </w:p>
          <w:p w14:paraId="554E8F0B" w14:textId="77777777" w:rsidR="00701A90" w:rsidRPr="00565AD8" w:rsidRDefault="00701A90" w:rsidP="000A6D4F">
            <w:pPr>
              <w:jc w:val="both"/>
              <w:rPr>
                <w:sz w:val="22"/>
                <w:szCs w:val="22"/>
              </w:rPr>
            </w:pPr>
          </w:p>
          <w:p w14:paraId="41D275FB" w14:textId="77777777" w:rsidR="00701A90" w:rsidRPr="00D34969" w:rsidRDefault="00701A90" w:rsidP="000A6D4F">
            <w:pPr>
              <w:jc w:val="both"/>
              <w:rPr>
                <w:sz w:val="22"/>
                <w:szCs w:val="22"/>
              </w:rPr>
            </w:pPr>
            <w:r w:rsidRPr="00565AD8">
              <w:rPr>
                <w:sz w:val="22"/>
                <w:szCs w:val="22"/>
              </w:rPr>
              <w:t xml:space="preserve">Var samazināt uz 10% vai 5%, </w:t>
            </w:r>
            <w:r>
              <w:rPr>
                <w:sz w:val="22"/>
                <w:szCs w:val="22"/>
              </w:rPr>
              <w:t>ja atlases</w:t>
            </w:r>
            <w:r w:rsidR="00623DD4">
              <w:rPr>
                <w:sz w:val="22"/>
                <w:szCs w:val="22"/>
              </w:rPr>
              <w:t xml:space="preserve"> </w:t>
            </w:r>
            <w:r>
              <w:rPr>
                <w:sz w:val="22"/>
                <w:szCs w:val="22"/>
              </w:rPr>
              <w:t xml:space="preserve">/ vērtēšanas kritēriji bija noteikti konkursa paziņojumā (vai konkursa dokumentācijā attiecībā uz  vērtēšanas kritērijiem), bet tie bija nepietiekamā detalizācijā. </w:t>
            </w:r>
          </w:p>
        </w:tc>
      </w:tr>
      <w:tr w:rsidR="00701A90" w:rsidRPr="009D07C7" w14:paraId="285663BA" w14:textId="77777777" w:rsidTr="000A6D4F">
        <w:tc>
          <w:tcPr>
            <w:tcW w:w="276" w:type="pct"/>
            <w:tcBorders>
              <w:bottom w:val="single" w:sz="4" w:space="0" w:color="auto"/>
            </w:tcBorders>
          </w:tcPr>
          <w:p w14:paraId="5610144E" w14:textId="77777777" w:rsidR="00701A90" w:rsidRPr="009D07C7" w:rsidRDefault="00701A90" w:rsidP="002679E5">
            <w:pPr>
              <w:numPr>
                <w:ilvl w:val="0"/>
                <w:numId w:val="1"/>
              </w:numPr>
              <w:rPr>
                <w:sz w:val="22"/>
                <w:szCs w:val="22"/>
              </w:rPr>
            </w:pPr>
          </w:p>
        </w:tc>
        <w:tc>
          <w:tcPr>
            <w:tcW w:w="1726" w:type="pct"/>
            <w:tcBorders>
              <w:bottom w:val="single" w:sz="4" w:space="0" w:color="auto"/>
            </w:tcBorders>
          </w:tcPr>
          <w:p w14:paraId="41E7D24C" w14:textId="77777777" w:rsidR="00701A90" w:rsidRDefault="00701A90" w:rsidP="000A6D4F">
            <w:pPr>
              <w:autoSpaceDE w:val="0"/>
              <w:autoSpaceDN w:val="0"/>
              <w:adjustRightInd w:val="0"/>
              <w:jc w:val="both"/>
              <w:rPr>
                <w:sz w:val="22"/>
                <w:szCs w:val="22"/>
              </w:rPr>
            </w:pPr>
            <w:r w:rsidRPr="00401E7C">
              <w:rPr>
                <w:sz w:val="22"/>
                <w:szCs w:val="22"/>
              </w:rPr>
              <w:t>Konkursa paziņojumā</w:t>
            </w:r>
            <w:r>
              <w:rPr>
                <w:sz w:val="22"/>
                <w:szCs w:val="22"/>
              </w:rPr>
              <w:t xml:space="preserve"> vai konkursa dokumentācijā </w:t>
            </w:r>
            <w:r w:rsidRPr="00401E7C">
              <w:rPr>
                <w:sz w:val="22"/>
                <w:szCs w:val="22"/>
              </w:rPr>
              <w:t xml:space="preserve">izmantoti </w:t>
            </w:r>
            <w:r w:rsidR="00F928D4">
              <w:rPr>
                <w:sz w:val="22"/>
                <w:szCs w:val="22"/>
              </w:rPr>
              <w:t>nelikumīgi un/</w:t>
            </w:r>
            <w:r>
              <w:rPr>
                <w:sz w:val="22"/>
                <w:szCs w:val="22"/>
              </w:rPr>
              <w:t xml:space="preserve">vai diskriminējoši atlases </w:t>
            </w:r>
            <w:r w:rsidR="00F928D4">
              <w:rPr>
                <w:sz w:val="22"/>
                <w:szCs w:val="22"/>
              </w:rPr>
              <w:t>un/vai</w:t>
            </w:r>
            <w:r>
              <w:rPr>
                <w:sz w:val="22"/>
                <w:szCs w:val="22"/>
              </w:rPr>
              <w:t xml:space="preserve"> vērtēšanas</w:t>
            </w:r>
            <w:r w:rsidRPr="00401E7C">
              <w:rPr>
                <w:sz w:val="22"/>
                <w:szCs w:val="22"/>
              </w:rPr>
              <w:t xml:space="preserve"> kritēriji</w:t>
            </w:r>
          </w:p>
          <w:p w14:paraId="757B7EE7" w14:textId="77777777" w:rsidR="00701A90" w:rsidRDefault="00701A90" w:rsidP="000A6D4F">
            <w:pPr>
              <w:autoSpaceDE w:val="0"/>
              <w:autoSpaceDN w:val="0"/>
              <w:adjustRightInd w:val="0"/>
              <w:jc w:val="both"/>
              <w:rPr>
                <w:sz w:val="22"/>
                <w:szCs w:val="22"/>
              </w:rPr>
            </w:pPr>
          </w:p>
          <w:p w14:paraId="1DC06732" w14:textId="77777777" w:rsidR="00701A90" w:rsidRPr="006163DC" w:rsidRDefault="00701A90" w:rsidP="000A6D4F">
            <w:pPr>
              <w:autoSpaceDE w:val="0"/>
              <w:autoSpaceDN w:val="0"/>
              <w:adjustRightInd w:val="0"/>
              <w:jc w:val="both"/>
              <w:rPr>
                <w:i/>
                <w:sz w:val="22"/>
                <w:szCs w:val="22"/>
              </w:rPr>
            </w:pPr>
            <w:r w:rsidRPr="006163DC">
              <w:rPr>
                <w:i/>
                <w:sz w:val="22"/>
                <w:szCs w:val="22"/>
              </w:rPr>
              <w:t>Direktīvas Nr.</w:t>
            </w:r>
            <w:r w:rsidR="00311A01">
              <w:rPr>
                <w:i/>
                <w:sz w:val="22"/>
                <w:szCs w:val="22"/>
              </w:rPr>
              <w:t>2014/24/EK 58.-60.pants, 67.pants</w:t>
            </w:r>
          </w:p>
          <w:p w14:paraId="7943A5A1" w14:textId="77777777" w:rsidR="00701A90" w:rsidRDefault="00701A90" w:rsidP="000A6D4F">
            <w:pPr>
              <w:autoSpaceDE w:val="0"/>
              <w:autoSpaceDN w:val="0"/>
              <w:adjustRightInd w:val="0"/>
              <w:jc w:val="both"/>
              <w:rPr>
                <w:i/>
                <w:sz w:val="22"/>
                <w:szCs w:val="22"/>
              </w:rPr>
            </w:pPr>
            <w:r w:rsidRPr="006163DC">
              <w:rPr>
                <w:i/>
                <w:sz w:val="22"/>
                <w:szCs w:val="22"/>
              </w:rPr>
              <w:t>Direktīvas Nr.2004/17/EK 54.pants</w:t>
            </w:r>
            <w:r>
              <w:rPr>
                <w:i/>
                <w:sz w:val="22"/>
                <w:szCs w:val="22"/>
              </w:rPr>
              <w:t xml:space="preserve"> </w:t>
            </w:r>
            <w:r w:rsidRPr="006163DC">
              <w:rPr>
                <w:i/>
                <w:sz w:val="22"/>
                <w:szCs w:val="22"/>
              </w:rPr>
              <w:t>un 55.pants</w:t>
            </w:r>
          </w:p>
          <w:p w14:paraId="333601BB" w14:textId="77777777" w:rsidR="00A2172D" w:rsidRDefault="00A2172D" w:rsidP="000A6D4F">
            <w:pPr>
              <w:autoSpaceDE w:val="0"/>
              <w:autoSpaceDN w:val="0"/>
              <w:adjustRightInd w:val="0"/>
              <w:jc w:val="both"/>
              <w:rPr>
                <w:i/>
                <w:sz w:val="22"/>
                <w:szCs w:val="22"/>
              </w:rPr>
            </w:pPr>
          </w:p>
          <w:p w14:paraId="39ED40AB" w14:textId="77777777" w:rsidR="00A2172D" w:rsidRPr="00D34969" w:rsidRDefault="00A2172D" w:rsidP="000A6D4F">
            <w:pPr>
              <w:autoSpaceDE w:val="0"/>
              <w:autoSpaceDN w:val="0"/>
              <w:adjustRightInd w:val="0"/>
              <w:jc w:val="both"/>
              <w:rPr>
                <w:sz w:val="22"/>
                <w:szCs w:val="22"/>
              </w:rPr>
            </w:pPr>
            <w:r w:rsidRPr="00A2172D">
              <w:rPr>
                <w:sz w:val="22"/>
                <w:szCs w:val="22"/>
              </w:rPr>
              <w:t>(EK 19.12.2013. vadlīniju  2.1.sadaļas 9.punkts)</w:t>
            </w:r>
          </w:p>
        </w:tc>
        <w:tc>
          <w:tcPr>
            <w:tcW w:w="2061" w:type="pct"/>
            <w:tcBorders>
              <w:bottom w:val="single" w:sz="4" w:space="0" w:color="auto"/>
            </w:tcBorders>
          </w:tcPr>
          <w:p w14:paraId="5DD6C2E0" w14:textId="77777777" w:rsidR="00701A90" w:rsidRDefault="00701A90" w:rsidP="000A6D4F">
            <w:pPr>
              <w:autoSpaceDE w:val="0"/>
              <w:autoSpaceDN w:val="0"/>
              <w:adjustRightInd w:val="0"/>
              <w:jc w:val="both"/>
              <w:rPr>
                <w:sz w:val="22"/>
                <w:szCs w:val="22"/>
              </w:rPr>
            </w:pPr>
            <w:r w:rsidRPr="00EC4A74">
              <w:rPr>
                <w:sz w:val="22"/>
                <w:szCs w:val="22"/>
              </w:rPr>
              <w:t>Gadījumi, kad daži uzņēmēji atturēti (nav varējuši)  iesniegt piedāvājumu, jo konkursa</w:t>
            </w:r>
            <w:r>
              <w:rPr>
                <w:sz w:val="22"/>
                <w:szCs w:val="22"/>
              </w:rPr>
              <w:t xml:space="preserve"> </w:t>
            </w:r>
            <w:r w:rsidRPr="00EC4A74">
              <w:rPr>
                <w:sz w:val="22"/>
                <w:szCs w:val="22"/>
              </w:rPr>
              <w:t xml:space="preserve">paziņojumā vai dokumentos ir noteikti </w:t>
            </w:r>
            <w:r>
              <w:rPr>
                <w:sz w:val="22"/>
                <w:szCs w:val="22"/>
              </w:rPr>
              <w:t xml:space="preserve">nelikumīgi </w:t>
            </w:r>
            <w:r w:rsidR="00F928D4">
              <w:rPr>
                <w:sz w:val="22"/>
                <w:szCs w:val="22"/>
              </w:rPr>
              <w:t>un/vai diskriminējoši atlases un/</w:t>
            </w:r>
            <w:r>
              <w:rPr>
                <w:sz w:val="22"/>
                <w:szCs w:val="22"/>
              </w:rPr>
              <w:t>vai vērtēšanas</w:t>
            </w:r>
            <w:r w:rsidRPr="00401E7C">
              <w:rPr>
                <w:sz w:val="22"/>
                <w:szCs w:val="22"/>
              </w:rPr>
              <w:t xml:space="preserve"> kritēriji</w:t>
            </w:r>
            <w:r>
              <w:rPr>
                <w:sz w:val="22"/>
                <w:szCs w:val="22"/>
              </w:rPr>
              <w:t xml:space="preserve">. Piemēram: </w:t>
            </w:r>
          </w:p>
          <w:p w14:paraId="12FEF4A7" w14:textId="77777777" w:rsidR="00701A90" w:rsidRPr="00D94CD4" w:rsidRDefault="00701A90" w:rsidP="003C2BFB">
            <w:pPr>
              <w:numPr>
                <w:ilvl w:val="0"/>
                <w:numId w:val="17"/>
              </w:numPr>
              <w:autoSpaceDE w:val="0"/>
              <w:autoSpaceDN w:val="0"/>
              <w:adjustRightInd w:val="0"/>
              <w:jc w:val="both"/>
              <w:rPr>
                <w:sz w:val="22"/>
                <w:szCs w:val="22"/>
              </w:rPr>
            </w:pPr>
            <w:r w:rsidRPr="00450006">
              <w:rPr>
                <w:sz w:val="22"/>
                <w:szCs w:val="22"/>
              </w:rPr>
              <w:t>prasība būt reģistrētam vai pārstāvētam valstī</w:t>
            </w:r>
            <w:r w:rsidR="00241F5A">
              <w:rPr>
                <w:sz w:val="22"/>
                <w:szCs w:val="22"/>
              </w:rPr>
              <w:t>,</w:t>
            </w:r>
            <w:r w:rsidR="00241F5A" w:rsidRPr="00241F5A">
              <w:rPr>
                <w:sz w:val="22"/>
                <w:szCs w:val="22"/>
              </w:rPr>
              <w:t xml:space="preserve"> kurā jāiesniedz piedāvājums</w:t>
            </w:r>
            <w:r w:rsidRPr="00450006">
              <w:rPr>
                <w:sz w:val="22"/>
                <w:szCs w:val="22"/>
              </w:rPr>
              <w:t>;</w:t>
            </w:r>
          </w:p>
          <w:p w14:paraId="59FC6603" w14:textId="77777777" w:rsidR="00701A90" w:rsidRPr="00241F5A" w:rsidRDefault="00701A90" w:rsidP="00241F5A">
            <w:pPr>
              <w:numPr>
                <w:ilvl w:val="0"/>
                <w:numId w:val="17"/>
              </w:numPr>
              <w:autoSpaceDE w:val="0"/>
              <w:autoSpaceDN w:val="0"/>
              <w:adjustRightInd w:val="0"/>
              <w:jc w:val="both"/>
              <w:rPr>
                <w:sz w:val="22"/>
                <w:szCs w:val="22"/>
              </w:rPr>
            </w:pPr>
            <w:r w:rsidRPr="00450006">
              <w:rPr>
                <w:sz w:val="22"/>
                <w:szCs w:val="22"/>
              </w:rPr>
              <w:t>prasība par pieredzi darbā konkrētā reģionā</w:t>
            </w:r>
            <w:r w:rsidRPr="00241F5A">
              <w:rPr>
                <w:sz w:val="22"/>
                <w:szCs w:val="22"/>
              </w:rPr>
              <w:t>.</w:t>
            </w:r>
          </w:p>
        </w:tc>
        <w:tc>
          <w:tcPr>
            <w:tcW w:w="937" w:type="pct"/>
            <w:gridSpan w:val="2"/>
            <w:tcBorders>
              <w:bottom w:val="single" w:sz="4" w:space="0" w:color="auto"/>
            </w:tcBorders>
            <w:vAlign w:val="center"/>
          </w:tcPr>
          <w:p w14:paraId="42E25589" w14:textId="77777777" w:rsidR="00701A90" w:rsidRPr="008269B6" w:rsidRDefault="00701A90" w:rsidP="000A6D4F">
            <w:pPr>
              <w:jc w:val="both"/>
              <w:rPr>
                <w:sz w:val="22"/>
                <w:szCs w:val="22"/>
              </w:rPr>
            </w:pPr>
            <w:r w:rsidRPr="008269B6">
              <w:rPr>
                <w:sz w:val="22"/>
                <w:szCs w:val="22"/>
              </w:rPr>
              <w:t>25%</w:t>
            </w:r>
          </w:p>
          <w:p w14:paraId="7FF83771" w14:textId="77777777" w:rsidR="00701A90" w:rsidRPr="008269B6" w:rsidRDefault="00701A90" w:rsidP="000A6D4F">
            <w:pPr>
              <w:jc w:val="both"/>
              <w:rPr>
                <w:sz w:val="22"/>
                <w:szCs w:val="22"/>
              </w:rPr>
            </w:pPr>
          </w:p>
          <w:p w14:paraId="7073DF9C" w14:textId="77777777" w:rsidR="00701A90" w:rsidRPr="00D34969" w:rsidRDefault="00701A90" w:rsidP="000A6D4F">
            <w:pPr>
              <w:jc w:val="both"/>
              <w:rPr>
                <w:sz w:val="22"/>
                <w:szCs w:val="22"/>
              </w:rPr>
            </w:pPr>
            <w:r w:rsidRPr="008269B6">
              <w:rPr>
                <w:sz w:val="22"/>
                <w:szCs w:val="22"/>
              </w:rPr>
              <w:t>Var samazināt uz 10% vai 5%, atkarībā</w:t>
            </w:r>
            <w:r>
              <w:rPr>
                <w:sz w:val="22"/>
                <w:szCs w:val="22"/>
              </w:rPr>
              <w:t xml:space="preserve"> </w:t>
            </w:r>
            <w:r w:rsidRPr="008269B6">
              <w:rPr>
                <w:sz w:val="22"/>
                <w:szCs w:val="22"/>
              </w:rPr>
              <w:t xml:space="preserve">no </w:t>
            </w:r>
            <w:r>
              <w:rPr>
                <w:sz w:val="22"/>
                <w:szCs w:val="22"/>
              </w:rPr>
              <w:t>neatbilstības būtiskuma.</w:t>
            </w:r>
          </w:p>
        </w:tc>
      </w:tr>
      <w:tr w:rsidR="00701A90" w:rsidRPr="009D07C7" w14:paraId="51C21BB6" w14:textId="77777777" w:rsidTr="000A6D4F">
        <w:tc>
          <w:tcPr>
            <w:tcW w:w="276" w:type="pct"/>
            <w:tcBorders>
              <w:bottom w:val="single" w:sz="4" w:space="0" w:color="auto"/>
            </w:tcBorders>
          </w:tcPr>
          <w:p w14:paraId="153C9A62" w14:textId="77777777" w:rsidR="00701A90" w:rsidRPr="009D07C7" w:rsidRDefault="00701A90" w:rsidP="002679E5">
            <w:pPr>
              <w:numPr>
                <w:ilvl w:val="0"/>
                <w:numId w:val="1"/>
              </w:numPr>
              <w:rPr>
                <w:sz w:val="22"/>
                <w:szCs w:val="22"/>
              </w:rPr>
            </w:pPr>
          </w:p>
        </w:tc>
        <w:tc>
          <w:tcPr>
            <w:tcW w:w="1726" w:type="pct"/>
            <w:tcBorders>
              <w:bottom w:val="single" w:sz="4" w:space="0" w:color="auto"/>
            </w:tcBorders>
          </w:tcPr>
          <w:p w14:paraId="50FB63D6" w14:textId="77777777" w:rsidR="00701A90" w:rsidRDefault="00701A90" w:rsidP="000A6D4F">
            <w:pPr>
              <w:jc w:val="both"/>
              <w:rPr>
                <w:sz w:val="22"/>
                <w:szCs w:val="22"/>
              </w:rPr>
            </w:pPr>
            <w:r w:rsidRPr="00F54D43">
              <w:rPr>
                <w:sz w:val="22"/>
                <w:szCs w:val="22"/>
              </w:rPr>
              <w:t xml:space="preserve">Atlases kritēriji nav saistīti un </w:t>
            </w:r>
            <w:r w:rsidR="00A33DD9">
              <w:rPr>
                <w:sz w:val="22"/>
                <w:szCs w:val="22"/>
              </w:rPr>
              <w:t xml:space="preserve">nav </w:t>
            </w:r>
            <w:r w:rsidRPr="00F54D43">
              <w:rPr>
                <w:sz w:val="22"/>
                <w:szCs w:val="22"/>
              </w:rPr>
              <w:t>samērīgi ar</w:t>
            </w:r>
            <w:r>
              <w:rPr>
                <w:sz w:val="22"/>
                <w:szCs w:val="22"/>
              </w:rPr>
              <w:t xml:space="preserve"> līguma priekšmetu</w:t>
            </w:r>
          </w:p>
          <w:p w14:paraId="5731F876" w14:textId="77777777" w:rsidR="00701A90" w:rsidRDefault="00701A90" w:rsidP="000A6D4F">
            <w:pPr>
              <w:jc w:val="both"/>
              <w:rPr>
                <w:sz w:val="22"/>
                <w:szCs w:val="22"/>
              </w:rPr>
            </w:pPr>
          </w:p>
          <w:p w14:paraId="33159A0A" w14:textId="77777777" w:rsidR="00701A90" w:rsidRPr="0010789B" w:rsidRDefault="00701A90" w:rsidP="000A6D4F">
            <w:pPr>
              <w:jc w:val="both"/>
              <w:rPr>
                <w:i/>
                <w:sz w:val="22"/>
                <w:szCs w:val="22"/>
              </w:rPr>
            </w:pPr>
            <w:r>
              <w:rPr>
                <w:i/>
                <w:sz w:val="22"/>
                <w:szCs w:val="22"/>
              </w:rPr>
              <w:t>Direktīvas Nr.</w:t>
            </w:r>
            <w:r w:rsidR="00311A01">
              <w:rPr>
                <w:i/>
                <w:sz w:val="22"/>
                <w:szCs w:val="22"/>
              </w:rPr>
              <w:t>2014/24/EK 58(1).pants un 58(5).pants</w:t>
            </w:r>
          </w:p>
          <w:p w14:paraId="5EC33CEF" w14:textId="77777777" w:rsidR="00701A90" w:rsidRDefault="00701A90" w:rsidP="000A6D4F">
            <w:pPr>
              <w:jc w:val="both"/>
              <w:rPr>
                <w:i/>
                <w:sz w:val="22"/>
                <w:szCs w:val="22"/>
              </w:rPr>
            </w:pPr>
            <w:r>
              <w:rPr>
                <w:i/>
                <w:sz w:val="22"/>
                <w:szCs w:val="22"/>
              </w:rPr>
              <w:t xml:space="preserve">Direktīvas Nr.2004/17/EK </w:t>
            </w:r>
            <w:r w:rsidRPr="0010789B">
              <w:rPr>
                <w:i/>
                <w:sz w:val="22"/>
                <w:szCs w:val="22"/>
              </w:rPr>
              <w:t>54(2).pants</w:t>
            </w:r>
          </w:p>
          <w:p w14:paraId="03058BB9" w14:textId="77777777" w:rsidR="00A2172D" w:rsidRDefault="00A2172D" w:rsidP="000A6D4F">
            <w:pPr>
              <w:jc w:val="both"/>
              <w:rPr>
                <w:i/>
                <w:sz w:val="22"/>
                <w:szCs w:val="22"/>
              </w:rPr>
            </w:pPr>
          </w:p>
          <w:p w14:paraId="06CDE518" w14:textId="77777777" w:rsidR="00A2172D" w:rsidRPr="00D34969" w:rsidRDefault="00A2172D" w:rsidP="00A2172D">
            <w:pPr>
              <w:jc w:val="both"/>
              <w:rPr>
                <w:sz w:val="22"/>
                <w:szCs w:val="22"/>
              </w:rPr>
            </w:pPr>
            <w:r w:rsidRPr="00A2172D">
              <w:rPr>
                <w:sz w:val="22"/>
                <w:szCs w:val="22"/>
              </w:rPr>
              <w:t xml:space="preserve">(EK 19.12.2013. vadlīniju  2.1.sadaļas </w:t>
            </w:r>
            <w:r>
              <w:rPr>
                <w:sz w:val="22"/>
                <w:szCs w:val="22"/>
              </w:rPr>
              <w:t>10</w:t>
            </w:r>
            <w:r w:rsidRPr="00A2172D">
              <w:rPr>
                <w:sz w:val="22"/>
                <w:szCs w:val="22"/>
              </w:rPr>
              <w:t>.punkts)</w:t>
            </w:r>
          </w:p>
        </w:tc>
        <w:tc>
          <w:tcPr>
            <w:tcW w:w="2061" w:type="pct"/>
            <w:tcBorders>
              <w:bottom w:val="single" w:sz="4" w:space="0" w:color="auto"/>
            </w:tcBorders>
          </w:tcPr>
          <w:p w14:paraId="23DA75A2" w14:textId="77777777" w:rsidR="00701A90" w:rsidRPr="00D34969" w:rsidRDefault="00701A90" w:rsidP="00A33DD9">
            <w:pPr>
              <w:jc w:val="both"/>
              <w:rPr>
                <w:sz w:val="22"/>
                <w:szCs w:val="22"/>
              </w:rPr>
            </w:pPr>
            <w:r>
              <w:rPr>
                <w:sz w:val="22"/>
                <w:szCs w:val="22"/>
              </w:rPr>
              <w:t xml:space="preserve">Gadījumos, kad </w:t>
            </w:r>
            <w:r w:rsidRPr="002F4016">
              <w:rPr>
                <w:sz w:val="22"/>
                <w:szCs w:val="22"/>
              </w:rPr>
              <w:t>var tikt pierādīts, ka</w:t>
            </w:r>
            <w:r>
              <w:rPr>
                <w:sz w:val="22"/>
                <w:szCs w:val="22"/>
              </w:rPr>
              <w:t xml:space="preserve"> konkrētā līguma izpildes </w:t>
            </w:r>
            <w:r w:rsidRPr="002F4016">
              <w:rPr>
                <w:sz w:val="22"/>
                <w:szCs w:val="22"/>
              </w:rPr>
              <w:t>spēju minimāl</w:t>
            </w:r>
            <w:r>
              <w:rPr>
                <w:sz w:val="22"/>
                <w:szCs w:val="22"/>
              </w:rPr>
              <w:t>ās prasības</w:t>
            </w:r>
            <w:r w:rsidR="00623DD4">
              <w:rPr>
                <w:sz w:val="22"/>
                <w:szCs w:val="22"/>
              </w:rPr>
              <w:t xml:space="preserve"> </w:t>
            </w:r>
            <w:r>
              <w:rPr>
                <w:sz w:val="22"/>
                <w:szCs w:val="22"/>
              </w:rPr>
              <w:t>/</w:t>
            </w:r>
            <w:r w:rsidR="00623DD4">
              <w:rPr>
                <w:sz w:val="22"/>
                <w:szCs w:val="22"/>
              </w:rPr>
              <w:t xml:space="preserve"> </w:t>
            </w:r>
            <w:r w:rsidRPr="002F4016">
              <w:rPr>
                <w:sz w:val="22"/>
                <w:szCs w:val="22"/>
              </w:rPr>
              <w:t>līmenis nav saistīt</w:t>
            </w:r>
            <w:r>
              <w:rPr>
                <w:sz w:val="22"/>
                <w:szCs w:val="22"/>
              </w:rPr>
              <w:t>s</w:t>
            </w:r>
            <w:r w:rsidRPr="002F4016">
              <w:rPr>
                <w:sz w:val="22"/>
                <w:szCs w:val="22"/>
              </w:rPr>
              <w:t xml:space="preserve"> </w:t>
            </w:r>
            <w:r w:rsidRPr="002F4016">
              <w:rPr>
                <w:sz w:val="22"/>
                <w:szCs w:val="22"/>
              </w:rPr>
              <w:br/>
              <w:t xml:space="preserve">un samērīgs ar </w:t>
            </w:r>
            <w:r>
              <w:rPr>
                <w:sz w:val="22"/>
                <w:szCs w:val="22"/>
              </w:rPr>
              <w:t>līguma priekšmetu</w:t>
            </w:r>
            <w:r w:rsidRPr="002F4016">
              <w:rPr>
                <w:sz w:val="22"/>
                <w:szCs w:val="22"/>
              </w:rPr>
              <w:t xml:space="preserve">, līdz ar to nav </w:t>
            </w:r>
            <w:r w:rsidRPr="002F4016">
              <w:rPr>
                <w:sz w:val="22"/>
                <w:szCs w:val="22"/>
              </w:rPr>
              <w:br/>
            </w:r>
            <w:r w:rsidR="00A33DD9" w:rsidRPr="002F4016">
              <w:rPr>
                <w:sz w:val="22"/>
                <w:szCs w:val="22"/>
              </w:rPr>
              <w:t>nodrošin</w:t>
            </w:r>
            <w:r w:rsidR="00A33DD9">
              <w:rPr>
                <w:sz w:val="22"/>
                <w:szCs w:val="22"/>
              </w:rPr>
              <w:t>ātas</w:t>
            </w:r>
            <w:r w:rsidR="00A33DD9" w:rsidRPr="002F4016">
              <w:rPr>
                <w:sz w:val="22"/>
                <w:szCs w:val="22"/>
              </w:rPr>
              <w:t xml:space="preserve"> </w:t>
            </w:r>
            <w:r w:rsidRPr="002F4016">
              <w:rPr>
                <w:sz w:val="22"/>
                <w:szCs w:val="22"/>
              </w:rPr>
              <w:t xml:space="preserve">vienādas iespējas visiem pretendentiem </w:t>
            </w:r>
            <w:r w:rsidRPr="002F4016">
              <w:rPr>
                <w:sz w:val="22"/>
                <w:szCs w:val="22"/>
              </w:rPr>
              <w:br/>
              <w:t xml:space="preserve">vai </w:t>
            </w:r>
            <w:r>
              <w:rPr>
                <w:sz w:val="22"/>
                <w:szCs w:val="22"/>
              </w:rPr>
              <w:t>publiskajā iepirkumā</w:t>
            </w:r>
            <w:r w:rsidRPr="00294BCF">
              <w:rPr>
                <w:sz w:val="22"/>
                <w:szCs w:val="22"/>
              </w:rPr>
              <w:t xml:space="preserve"> ir </w:t>
            </w:r>
            <w:r w:rsidRPr="00294BCF">
              <w:rPr>
                <w:sz w:val="22"/>
                <w:szCs w:val="22"/>
              </w:rPr>
              <w:br/>
              <w:t>radīt</w:t>
            </w:r>
            <w:r>
              <w:rPr>
                <w:sz w:val="22"/>
                <w:szCs w:val="22"/>
              </w:rPr>
              <w:t>i</w:t>
            </w:r>
            <w:r w:rsidRPr="00294BCF">
              <w:rPr>
                <w:sz w:val="22"/>
                <w:szCs w:val="22"/>
              </w:rPr>
              <w:t xml:space="preserve"> nepamatot</w:t>
            </w:r>
            <w:r>
              <w:rPr>
                <w:sz w:val="22"/>
                <w:szCs w:val="22"/>
              </w:rPr>
              <w:t>i</w:t>
            </w:r>
            <w:r w:rsidRPr="00294BCF">
              <w:rPr>
                <w:sz w:val="22"/>
                <w:szCs w:val="22"/>
              </w:rPr>
              <w:t xml:space="preserve"> </w:t>
            </w:r>
            <w:r w:rsidRPr="00294BCF">
              <w:rPr>
                <w:sz w:val="22"/>
                <w:szCs w:val="22"/>
              </w:rPr>
              <w:br/>
              <w:t>šķēršļi</w:t>
            </w:r>
            <w:r>
              <w:rPr>
                <w:sz w:val="22"/>
                <w:szCs w:val="22"/>
              </w:rPr>
              <w:t xml:space="preserve"> atvērtai iepirkuma procedūrai.</w:t>
            </w:r>
          </w:p>
        </w:tc>
        <w:tc>
          <w:tcPr>
            <w:tcW w:w="937" w:type="pct"/>
            <w:gridSpan w:val="2"/>
            <w:tcBorders>
              <w:bottom w:val="single" w:sz="4" w:space="0" w:color="auto"/>
            </w:tcBorders>
            <w:vAlign w:val="center"/>
          </w:tcPr>
          <w:p w14:paraId="0EDF7CE5" w14:textId="77777777" w:rsidR="00701A90" w:rsidRPr="008269B6" w:rsidRDefault="00701A90" w:rsidP="000A6D4F">
            <w:pPr>
              <w:jc w:val="both"/>
              <w:rPr>
                <w:sz w:val="22"/>
                <w:szCs w:val="22"/>
              </w:rPr>
            </w:pPr>
            <w:r w:rsidRPr="008269B6">
              <w:rPr>
                <w:sz w:val="22"/>
                <w:szCs w:val="22"/>
              </w:rPr>
              <w:t>25%</w:t>
            </w:r>
          </w:p>
          <w:p w14:paraId="2EC71880" w14:textId="77777777" w:rsidR="00701A90" w:rsidRPr="008269B6" w:rsidRDefault="00701A90" w:rsidP="000A6D4F">
            <w:pPr>
              <w:jc w:val="both"/>
              <w:rPr>
                <w:sz w:val="22"/>
                <w:szCs w:val="22"/>
              </w:rPr>
            </w:pPr>
          </w:p>
          <w:p w14:paraId="2703A448" w14:textId="77777777" w:rsidR="00701A90" w:rsidRPr="00D34969" w:rsidRDefault="00701A90" w:rsidP="000A6D4F">
            <w:pPr>
              <w:jc w:val="both"/>
              <w:rPr>
                <w:sz w:val="22"/>
                <w:szCs w:val="22"/>
              </w:rPr>
            </w:pPr>
            <w:r w:rsidRPr="008269B6">
              <w:rPr>
                <w:sz w:val="22"/>
                <w:szCs w:val="22"/>
              </w:rPr>
              <w:t xml:space="preserve">Var samazināt uz 10% vai 5%, atkarībā no </w:t>
            </w:r>
            <w:r>
              <w:rPr>
                <w:sz w:val="22"/>
                <w:szCs w:val="22"/>
              </w:rPr>
              <w:t>neatbilstības būtiskuma.</w:t>
            </w:r>
          </w:p>
        </w:tc>
      </w:tr>
      <w:tr w:rsidR="00701A90" w:rsidRPr="009D07C7" w14:paraId="254E61EC" w14:textId="77777777" w:rsidTr="000A6D4F">
        <w:tc>
          <w:tcPr>
            <w:tcW w:w="276" w:type="pct"/>
            <w:tcBorders>
              <w:bottom w:val="single" w:sz="4" w:space="0" w:color="auto"/>
            </w:tcBorders>
          </w:tcPr>
          <w:p w14:paraId="1EADE422" w14:textId="77777777" w:rsidR="00701A90" w:rsidRPr="009D07C7" w:rsidRDefault="00701A90" w:rsidP="002679E5">
            <w:pPr>
              <w:numPr>
                <w:ilvl w:val="0"/>
                <w:numId w:val="1"/>
              </w:numPr>
              <w:rPr>
                <w:sz w:val="22"/>
                <w:szCs w:val="22"/>
              </w:rPr>
            </w:pPr>
          </w:p>
        </w:tc>
        <w:tc>
          <w:tcPr>
            <w:tcW w:w="1726" w:type="pct"/>
            <w:tcBorders>
              <w:bottom w:val="single" w:sz="4" w:space="0" w:color="auto"/>
            </w:tcBorders>
          </w:tcPr>
          <w:p w14:paraId="1015A167" w14:textId="77777777" w:rsidR="00701A90" w:rsidRDefault="00701A90" w:rsidP="000A6D4F">
            <w:pPr>
              <w:jc w:val="both"/>
              <w:rPr>
                <w:sz w:val="22"/>
                <w:szCs w:val="22"/>
              </w:rPr>
            </w:pPr>
            <w:r>
              <w:rPr>
                <w:sz w:val="22"/>
                <w:szCs w:val="22"/>
              </w:rPr>
              <w:t>Diskriminējoša tehniskā specifikācija</w:t>
            </w:r>
          </w:p>
          <w:p w14:paraId="28DDB6F9" w14:textId="77777777" w:rsidR="00701A90" w:rsidRDefault="00701A90" w:rsidP="000A6D4F">
            <w:pPr>
              <w:jc w:val="both"/>
              <w:rPr>
                <w:sz w:val="22"/>
                <w:szCs w:val="22"/>
              </w:rPr>
            </w:pPr>
          </w:p>
          <w:p w14:paraId="5CC13E08" w14:textId="77777777" w:rsidR="00701A90" w:rsidRPr="002214D9" w:rsidRDefault="00701A90" w:rsidP="000A6D4F">
            <w:pPr>
              <w:jc w:val="both"/>
              <w:rPr>
                <w:i/>
                <w:sz w:val="22"/>
                <w:szCs w:val="22"/>
              </w:rPr>
            </w:pPr>
            <w:r w:rsidRPr="002214D9">
              <w:rPr>
                <w:i/>
                <w:sz w:val="22"/>
                <w:szCs w:val="22"/>
              </w:rPr>
              <w:t>Direktīvas Nr.</w:t>
            </w:r>
            <w:r w:rsidR="001A2D43">
              <w:rPr>
                <w:i/>
                <w:sz w:val="22"/>
                <w:szCs w:val="22"/>
              </w:rPr>
              <w:t>2014/24/EK 42(2).pants</w:t>
            </w:r>
          </w:p>
          <w:p w14:paraId="7C758EFF" w14:textId="77777777" w:rsidR="00701A90" w:rsidRPr="002214D9" w:rsidRDefault="00701A90" w:rsidP="000A6D4F">
            <w:pPr>
              <w:jc w:val="both"/>
              <w:rPr>
                <w:i/>
                <w:sz w:val="22"/>
                <w:szCs w:val="22"/>
              </w:rPr>
            </w:pPr>
            <w:r w:rsidRPr="002214D9">
              <w:rPr>
                <w:i/>
                <w:sz w:val="22"/>
                <w:szCs w:val="22"/>
              </w:rPr>
              <w:lastRenderedPageBreak/>
              <w:t xml:space="preserve">Direktīvas Nr.2004/17/EK </w:t>
            </w:r>
            <w:r>
              <w:rPr>
                <w:i/>
                <w:sz w:val="22"/>
                <w:szCs w:val="22"/>
              </w:rPr>
              <w:t>34(2)</w:t>
            </w:r>
            <w:r w:rsidRPr="002214D9">
              <w:rPr>
                <w:i/>
                <w:sz w:val="22"/>
                <w:szCs w:val="22"/>
              </w:rPr>
              <w:t>.pants</w:t>
            </w:r>
          </w:p>
          <w:p w14:paraId="44FBC186" w14:textId="77777777" w:rsidR="00701A90" w:rsidRDefault="00701A90" w:rsidP="000A6D4F">
            <w:pPr>
              <w:jc w:val="both"/>
              <w:rPr>
                <w:sz w:val="22"/>
                <w:szCs w:val="22"/>
              </w:rPr>
            </w:pPr>
          </w:p>
          <w:p w14:paraId="093C194F" w14:textId="77777777" w:rsidR="00A2172D" w:rsidRPr="00D34969" w:rsidRDefault="00A2172D" w:rsidP="00A2172D">
            <w:pPr>
              <w:jc w:val="both"/>
              <w:rPr>
                <w:sz w:val="22"/>
                <w:szCs w:val="22"/>
              </w:rPr>
            </w:pPr>
            <w:r w:rsidRPr="00A2172D">
              <w:rPr>
                <w:sz w:val="22"/>
                <w:szCs w:val="22"/>
              </w:rPr>
              <w:t xml:space="preserve">(EK 19.12.2013. vadlīniju  2.1.sadaļas </w:t>
            </w:r>
            <w:r>
              <w:rPr>
                <w:sz w:val="22"/>
                <w:szCs w:val="22"/>
              </w:rPr>
              <w:t>11</w:t>
            </w:r>
            <w:r w:rsidRPr="00A2172D">
              <w:rPr>
                <w:sz w:val="22"/>
                <w:szCs w:val="22"/>
              </w:rPr>
              <w:t>.punkts)</w:t>
            </w:r>
          </w:p>
        </w:tc>
        <w:tc>
          <w:tcPr>
            <w:tcW w:w="2061" w:type="pct"/>
            <w:tcBorders>
              <w:bottom w:val="single" w:sz="4" w:space="0" w:color="auto"/>
            </w:tcBorders>
            <w:vAlign w:val="center"/>
          </w:tcPr>
          <w:p w14:paraId="61A3A731" w14:textId="77777777" w:rsidR="00701A90" w:rsidRPr="00D34969" w:rsidRDefault="00701A90" w:rsidP="00A33DD9">
            <w:pPr>
              <w:jc w:val="both"/>
              <w:rPr>
                <w:sz w:val="22"/>
                <w:szCs w:val="22"/>
              </w:rPr>
            </w:pPr>
            <w:r>
              <w:rPr>
                <w:sz w:val="22"/>
                <w:szCs w:val="22"/>
              </w:rPr>
              <w:lastRenderedPageBreak/>
              <w:t xml:space="preserve">Noteikti </w:t>
            </w:r>
            <w:r w:rsidRPr="00294BCF">
              <w:rPr>
                <w:sz w:val="22"/>
                <w:szCs w:val="22"/>
              </w:rPr>
              <w:t>pārāk specifiski</w:t>
            </w:r>
            <w:r>
              <w:rPr>
                <w:sz w:val="22"/>
                <w:szCs w:val="22"/>
              </w:rPr>
              <w:t xml:space="preserve"> t</w:t>
            </w:r>
            <w:r w:rsidRPr="00294BCF">
              <w:rPr>
                <w:sz w:val="22"/>
                <w:szCs w:val="22"/>
              </w:rPr>
              <w:t>ehnisk</w:t>
            </w:r>
            <w:r>
              <w:rPr>
                <w:sz w:val="22"/>
                <w:szCs w:val="22"/>
              </w:rPr>
              <w:t>ie</w:t>
            </w:r>
            <w:r w:rsidRPr="00294BCF">
              <w:rPr>
                <w:sz w:val="22"/>
                <w:szCs w:val="22"/>
              </w:rPr>
              <w:t xml:space="preserve"> standart</w:t>
            </w:r>
            <w:r>
              <w:rPr>
                <w:sz w:val="22"/>
                <w:szCs w:val="22"/>
              </w:rPr>
              <w:t>i</w:t>
            </w:r>
            <w:r w:rsidRPr="00294BCF">
              <w:rPr>
                <w:sz w:val="22"/>
                <w:szCs w:val="22"/>
              </w:rPr>
              <w:t>,</w:t>
            </w:r>
            <w:r>
              <w:rPr>
                <w:sz w:val="22"/>
                <w:szCs w:val="22"/>
              </w:rPr>
              <w:t xml:space="preserve"> </w:t>
            </w:r>
            <w:r w:rsidRPr="00294BCF">
              <w:rPr>
                <w:sz w:val="22"/>
                <w:szCs w:val="22"/>
              </w:rPr>
              <w:t>tādējādi nenodrošinot vienād</w:t>
            </w:r>
            <w:r>
              <w:rPr>
                <w:sz w:val="22"/>
                <w:szCs w:val="22"/>
              </w:rPr>
              <w:t>u</w:t>
            </w:r>
            <w:r w:rsidRPr="00294BCF">
              <w:rPr>
                <w:sz w:val="22"/>
                <w:szCs w:val="22"/>
              </w:rPr>
              <w:t xml:space="preserve"> </w:t>
            </w:r>
            <w:r w:rsidRPr="00294BCF">
              <w:rPr>
                <w:sz w:val="22"/>
                <w:szCs w:val="22"/>
              </w:rPr>
              <w:br/>
              <w:t>piekļuv</w:t>
            </w:r>
            <w:r w:rsidR="00A33DD9">
              <w:rPr>
                <w:sz w:val="22"/>
                <w:szCs w:val="22"/>
              </w:rPr>
              <w:t>i</w:t>
            </w:r>
            <w:r w:rsidR="00623DD4">
              <w:rPr>
                <w:sz w:val="22"/>
                <w:szCs w:val="22"/>
              </w:rPr>
              <w:t xml:space="preserve"> </w:t>
            </w:r>
            <w:r>
              <w:rPr>
                <w:sz w:val="22"/>
                <w:szCs w:val="22"/>
              </w:rPr>
              <w:t>/ iespēju</w:t>
            </w:r>
            <w:r w:rsidRPr="00294BCF">
              <w:rPr>
                <w:sz w:val="22"/>
                <w:szCs w:val="22"/>
              </w:rPr>
              <w:t xml:space="preserve"> pretendent</w:t>
            </w:r>
            <w:r>
              <w:rPr>
                <w:sz w:val="22"/>
                <w:szCs w:val="22"/>
              </w:rPr>
              <w:t>iem</w:t>
            </w:r>
            <w:r w:rsidRPr="00294BCF">
              <w:rPr>
                <w:sz w:val="22"/>
                <w:szCs w:val="22"/>
              </w:rPr>
              <w:t xml:space="preserve"> vai</w:t>
            </w:r>
            <w:r>
              <w:rPr>
                <w:sz w:val="22"/>
                <w:szCs w:val="22"/>
              </w:rPr>
              <w:t xml:space="preserve"> publiskajā iepirkumā</w:t>
            </w:r>
            <w:r w:rsidRPr="00294BCF">
              <w:rPr>
                <w:sz w:val="22"/>
                <w:szCs w:val="22"/>
              </w:rPr>
              <w:t xml:space="preserve"> ir </w:t>
            </w:r>
            <w:r w:rsidRPr="00294BCF">
              <w:rPr>
                <w:sz w:val="22"/>
                <w:szCs w:val="22"/>
              </w:rPr>
              <w:br/>
            </w:r>
            <w:r w:rsidRPr="00294BCF">
              <w:rPr>
                <w:sz w:val="22"/>
                <w:szCs w:val="22"/>
              </w:rPr>
              <w:lastRenderedPageBreak/>
              <w:t>radīt</w:t>
            </w:r>
            <w:r>
              <w:rPr>
                <w:sz w:val="22"/>
                <w:szCs w:val="22"/>
              </w:rPr>
              <w:t>i</w:t>
            </w:r>
            <w:r w:rsidRPr="00294BCF">
              <w:rPr>
                <w:sz w:val="22"/>
                <w:szCs w:val="22"/>
              </w:rPr>
              <w:t xml:space="preserve"> nepamatot</w:t>
            </w:r>
            <w:r>
              <w:rPr>
                <w:sz w:val="22"/>
                <w:szCs w:val="22"/>
              </w:rPr>
              <w:t>i</w:t>
            </w:r>
            <w:r w:rsidRPr="00294BCF">
              <w:rPr>
                <w:sz w:val="22"/>
                <w:szCs w:val="22"/>
              </w:rPr>
              <w:t xml:space="preserve"> </w:t>
            </w:r>
            <w:r w:rsidRPr="00294BCF">
              <w:rPr>
                <w:sz w:val="22"/>
                <w:szCs w:val="22"/>
              </w:rPr>
              <w:br/>
              <w:t>šķēršļi</w:t>
            </w:r>
            <w:r>
              <w:rPr>
                <w:sz w:val="22"/>
                <w:szCs w:val="22"/>
              </w:rPr>
              <w:t xml:space="preserve"> </w:t>
            </w:r>
            <w:r w:rsidR="00A33DD9">
              <w:rPr>
                <w:sz w:val="22"/>
                <w:szCs w:val="22"/>
              </w:rPr>
              <w:t xml:space="preserve">atklātai </w:t>
            </w:r>
            <w:r>
              <w:rPr>
                <w:sz w:val="22"/>
                <w:szCs w:val="22"/>
              </w:rPr>
              <w:t xml:space="preserve">iepirkuma procedūrai. </w:t>
            </w:r>
          </w:p>
        </w:tc>
        <w:tc>
          <w:tcPr>
            <w:tcW w:w="937" w:type="pct"/>
            <w:gridSpan w:val="2"/>
            <w:tcBorders>
              <w:bottom w:val="single" w:sz="4" w:space="0" w:color="auto"/>
            </w:tcBorders>
            <w:vAlign w:val="center"/>
          </w:tcPr>
          <w:p w14:paraId="5E51E52E" w14:textId="77777777" w:rsidR="00701A90" w:rsidRPr="008269B6" w:rsidRDefault="00701A90" w:rsidP="000A6D4F">
            <w:pPr>
              <w:jc w:val="both"/>
              <w:rPr>
                <w:sz w:val="22"/>
                <w:szCs w:val="22"/>
              </w:rPr>
            </w:pPr>
            <w:r w:rsidRPr="008269B6">
              <w:rPr>
                <w:sz w:val="22"/>
                <w:szCs w:val="22"/>
              </w:rPr>
              <w:lastRenderedPageBreak/>
              <w:t>25%</w:t>
            </w:r>
          </w:p>
          <w:p w14:paraId="06D20283" w14:textId="77777777" w:rsidR="00701A90" w:rsidRPr="008269B6" w:rsidRDefault="00701A90" w:rsidP="000A6D4F">
            <w:pPr>
              <w:jc w:val="both"/>
              <w:rPr>
                <w:sz w:val="22"/>
                <w:szCs w:val="22"/>
              </w:rPr>
            </w:pPr>
          </w:p>
          <w:p w14:paraId="41B7052D" w14:textId="77777777" w:rsidR="00701A90" w:rsidRPr="00D34969" w:rsidRDefault="00701A90" w:rsidP="000A6D4F">
            <w:pPr>
              <w:jc w:val="both"/>
              <w:rPr>
                <w:sz w:val="22"/>
                <w:szCs w:val="22"/>
              </w:rPr>
            </w:pPr>
            <w:r w:rsidRPr="008269B6">
              <w:rPr>
                <w:sz w:val="22"/>
                <w:szCs w:val="22"/>
              </w:rPr>
              <w:lastRenderedPageBreak/>
              <w:t xml:space="preserve">Var samazināt uz 10% vai 5%, atkarībā no </w:t>
            </w:r>
            <w:r>
              <w:rPr>
                <w:sz w:val="22"/>
                <w:szCs w:val="22"/>
              </w:rPr>
              <w:t>neatbilstības būtiskuma.</w:t>
            </w:r>
          </w:p>
        </w:tc>
      </w:tr>
      <w:tr w:rsidR="00701A90" w:rsidRPr="009D07C7" w14:paraId="27688D39" w14:textId="77777777" w:rsidTr="000A6D4F">
        <w:tc>
          <w:tcPr>
            <w:tcW w:w="276" w:type="pct"/>
            <w:tcBorders>
              <w:bottom w:val="single" w:sz="4" w:space="0" w:color="auto"/>
            </w:tcBorders>
          </w:tcPr>
          <w:p w14:paraId="4B0F54A7" w14:textId="77777777" w:rsidR="00701A90" w:rsidRPr="009D07C7" w:rsidRDefault="00701A90" w:rsidP="002679E5">
            <w:pPr>
              <w:numPr>
                <w:ilvl w:val="0"/>
                <w:numId w:val="1"/>
              </w:numPr>
              <w:rPr>
                <w:sz w:val="22"/>
                <w:szCs w:val="22"/>
              </w:rPr>
            </w:pPr>
          </w:p>
        </w:tc>
        <w:tc>
          <w:tcPr>
            <w:tcW w:w="1726" w:type="pct"/>
            <w:tcBorders>
              <w:bottom w:val="single" w:sz="4" w:space="0" w:color="auto"/>
            </w:tcBorders>
          </w:tcPr>
          <w:p w14:paraId="262F742B" w14:textId="77777777" w:rsidR="00701A90" w:rsidRDefault="00701A90" w:rsidP="000A6D4F">
            <w:pPr>
              <w:autoSpaceDE w:val="0"/>
              <w:autoSpaceDN w:val="0"/>
              <w:adjustRightInd w:val="0"/>
              <w:jc w:val="both"/>
              <w:rPr>
                <w:sz w:val="22"/>
                <w:szCs w:val="22"/>
              </w:rPr>
            </w:pPr>
            <w:r w:rsidRPr="00927D9A">
              <w:rPr>
                <w:sz w:val="22"/>
                <w:szCs w:val="22"/>
              </w:rPr>
              <w:t>Līguma priekšmeta</w:t>
            </w:r>
            <w:r>
              <w:rPr>
                <w:sz w:val="22"/>
                <w:szCs w:val="22"/>
              </w:rPr>
              <w:t xml:space="preserve"> </w:t>
            </w:r>
            <w:r w:rsidRPr="00927D9A">
              <w:rPr>
                <w:sz w:val="22"/>
                <w:szCs w:val="22"/>
              </w:rPr>
              <w:t>nepilnīgs apraksts</w:t>
            </w:r>
          </w:p>
          <w:p w14:paraId="058865E0" w14:textId="77777777" w:rsidR="00701A90" w:rsidRDefault="00701A90" w:rsidP="000A6D4F">
            <w:pPr>
              <w:autoSpaceDE w:val="0"/>
              <w:autoSpaceDN w:val="0"/>
              <w:adjustRightInd w:val="0"/>
              <w:jc w:val="both"/>
              <w:rPr>
                <w:sz w:val="22"/>
                <w:szCs w:val="22"/>
              </w:rPr>
            </w:pPr>
          </w:p>
          <w:p w14:paraId="5CB8E417" w14:textId="77777777" w:rsidR="00701A90" w:rsidRPr="002214D9" w:rsidRDefault="00701A90" w:rsidP="000A6D4F">
            <w:pPr>
              <w:jc w:val="both"/>
              <w:rPr>
                <w:i/>
                <w:sz w:val="22"/>
                <w:szCs w:val="22"/>
              </w:rPr>
            </w:pPr>
            <w:r w:rsidRPr="002214D9">
              <w:rPr>
                <w:i/>
                <w:sz w:val="22"/>
                <w:szCs w:val="22"/>
              </w:rPr>
              <w:t>Direktīvas Nr.</w:t>
            </w:r>
            <w:r w:rsidR="00782237">
              <w:rPr>
                <w:i/>
                <w:sz w:val="22"/>
                <w:szCs w:val="22"/>
              </w:rPr>
              <w:t>2014/24/EK 18(1).pants</w:t>
            </w:r>
          </w:p>
          <w:p w14:paraId="3C133C85" w14:textId="77777777" w:rsidR="00701A90" w:rsidRPr="002214D9" w:rsidRDefault="00701A90" w:rsidP="000A6D4F">
            <w:pPr>
              <w:jc w:val="both"/>
              <w:rPr>
                <w:i/>
                <w:sz w:val="22"/>
                <w:szCs w:val="22"/>
              </w:rPr>
            </w:pPr>
            <w:r w:rsidRPr="002214D9">
              <w:rPr>
                <w:i/>
                <w:sz w:val="22"/>
                <w:szCs w:val="22"/>
              </w:rPr>
              <w:t>Direktīvas Nr.2004/17/EK 10.pants</w:t>
            </w:r>
          </w:p>
          <w:p w14:paraId="49057EF3" w14:textId="77777777" w:rsidR="00701A90" w:rsidRPr="00596442" w:rsidRDefault="00701A90" w:rsidP="000A6D4F">
            <w:pPr>
              <w:jc w:val="both"/>
              <w:rPr>
                <w:i/>
                <w:sz w:val="22"/>
                <w:szCs w:val="22"/>
              </w:rPr>
            </w:pPr>
            <w:r>
              <w:rPr>
                <w:i/>
                <w:sz w:val="22"/>
                <w:szCs w:val="22"/>
              </w:rPr>
              <w:t>EK 19.12.2013. vadlīnijās norādītie tiesu prakses gadījumi</w:t>
            </w:r>
          </w:p>
          <w:p w14:paraId="72E418CD" w14:textId="77777777" w:rsidR="00701A90" w:rsidRDefault="00701A90" w:rsidP="000A6D4F">
            <w:pPr>
              <w:autoSpaceDE w:val="0"/>
              <w:autoSpaceDN w:val="0"/>
              <w:adjustRightInd w:val="0"/>
              <w:jc w:val="both"/>
              <w:rPr>
                <w:sz w:val="22"/>
                <w:szCs w:val="22"/>
              </w:rPr>
            </w:pPr>
          </w:p>
          <w:p w14:paraId="33985939" w14:textId="77777777" w:rsidR="00A2172D" w:rsidRPr="00D34969" w:rsidRDefault="00A2172D" w:rsidP="00A2172D">
            <w:pPr>
              <w:autoSpaceDE w:val="0"/>
              <w:autoSpaceDN w:val="0"/>
              <w:adjustRightInd w:val="0"/>
              <w:jc w:val="both"/>
              <w:rPr>
                <w:sz w:val="22"/>
                <w:szCs w:val="22"/>
              </w:rPr>
            </w:pPr>
            <w:r w:rsidRPr="00A2172D">
              <w:rPr>
                <w:sz w:val="22"/>
                <w:szCs w:val="22"/>
              </w:rPr>
              <w:t xml:space="preserve">(EK 19.12.2013. vadlīniju  2.1.sadaļas </w:t>
            </w:r>
            <w:r>
              <w:rPr>
                <w:sz w:val="22"/>
                <w:szCs w:val="22"/>
              </w:rPr>
              <w:t>12</w:t>
            </w:r>
            <w:r w:rsidRPr="00A2172D">
              <w:rPr>
                <w:sz w:val="22"/>
                <w:szCs w:val="22"/>
              </w:rPr>
              <w:t>.punkts)</w:t>
            </w:r>
          </w:p>
        </w:tc>
        <w:tc>
          <w:tcPr>
            <w:tcW w:w="2061" w:type="pct"/>
            <w:tcBorders>
              <w:bottom w:val="single" w:sz="4" w:space="0" w:color="auto"/>
            </w:tcBorders>
          </w:tcPr>
          <w:p w14:paraId="76A3B725" w14:textId="77777777" w:rsidR="00701A90" w:rsidRPr="00D34969" w:rsidRDefault="00701A90" w:rsidP="000A6D4F">
            <w:pPr>
              <w:jc w:val="both"/>
              <w:rPr>
                <w:sz w:val="22"/>
                <w:szCs w:val="22"/>
              </w:rPr>
            </w:pPr>
            <w:r w:rsidRPr="007920E2">
              <w:rPr>
                <w:sz w:val="22"/>
                <w:szCs w:val="22"/>
              </w:rPr>
              <w:t>Apraksts iepirkuma dokumentācijā vai paziņojumā par līgumu ir nepietiekams, lai potenciālais pretendents</w:t>
            </w:r>
            <w:r w:rsidR="00623DD4">
              <w:rPr>
                <w:sz w:val="22"/>
                <w:szCs w:val="22"/>
              </w:rPr>
              <w:t xml:space="preserve"> </w:t>
            </w:r>
            <w:r w:rsidRPr="007920E2">
              <w:rPr>
                <w:sz w:val="22"/>
                <w:szCs w:val="22"/>
              </w:rPr>
              <w:t>/ kandidāts varētu noteikt, kas ir līguma priekšmets</w:t>
            </w:r>
            <w:r>
              <w:rPr>
                <w:sz w:val="22"/>
                <w:szCs w:val="22"/>
              </w:rPr>
              <w:t>.</w:t>
            </w:r>
          </w:p>
        </w:tc>
        <w:tc>
          <w:tcPr>
            <w:tcW w:w="937" w:type="pct"/>
            <w:gridSpan w:val="2"/>
            <w:tcBorders>
              <w:bottom w:val="single" w:sz="4" w:space="0" w:color="auto"/>
            </w:tcBorders>
            <w:vAlign w:val="center"/>
          </w:tcPr>
          <w:p w14:paraId="01B605AC" w14:textId="77777777" w:rsidR="00701A90" w:rsidRPr="008269B6" w:rsidRDefault="00701A90" w:rsidP="000A6D4F">
            <w:pPr>
              <w:jc w:val="both"/>
              <w:rPr>
                <w:sz w:val="22"/>
                <w:szCs w:val="22"/>
              </w:rPr>
            </w:pPr>
            <w:r>
              <w:rPr>
                <w:sz w:val="22"/>
                <w:szCs w:val="22"/>
              </w:rPr>
              <w:t>10</w:t>
            </w:r>
            <w:r w:rsidRPr="008269B6">
              <w:rPr>
                <w:sz w:val="22"/>
                <w:szCs w:val="22"/>
              </w:rPr>
              <w:t>%</w:t>
            </w:r>
          </w:p>
          <w:p w14:paraId="3F045B72" w14:textId="77777777" w:rsidR="00701A90" w:rsidRPr="008269B6" w:rsidRDefault="00701A90" w:rsidP="000A6D4F">
            <w:pPr>
              <w:jc w:val="both"/>
              <w:rPr>
                <w:sz w:val="22"/>
                <w:szCs w:val="22"/>
              </w:rPr>
            </w:pPr>
          </w:p>
          <w:p w14:paraId="2534F497" w14:textId="77777777" w:rsidR="00701A90" w:rsidRDefault="00701A90" w:rsidP="000A6D4F">
            <w:pPr>
              <w:jc w:val="both"/>
              <w:rPr>
                <w:sz w:val="22"/>
                <w:szCs w:val="22"/>
              </w:rPr>
            </w:pPr>
            <w:r w:rsidRPr="008269B6">
              <w:rPr>
                <w:sz w:val="22"/>
                <w:szCs w:val="22"/>
              </w:rPr>
              <w:t xml:space="preserve">Var samazināt uz 5%, atkarībā no </w:t>
            </w:r>
            <w:r>
              <w:rPr>
                <w:sz w:val="22"/>
                <w:szCs w:val="22"/>
              </w:rPr>
              <w:t>neatbilstības būtiskuma.</w:t>
            </w:r>
          </w:p>
          <w:p w14:paraId="7B981CF8" w14:textId="77777777" w:rsidR="00701A90" w:rsidRDefault="00701A90" w:rsidP="000A6D4F">
            <w:pPr>
              <w:jc w:val="both"/>
              <w:rPr>
                <w:sz w:val="22"/>
                <w:szCs w:val="22"/>
              </w:rPr>
            </w:pPr>
          </w:p>
          <w:p w14:paraId="159C4750" w14:textId="77777777" w:rsidR="00701A90" w:rsidRPr="00D34969" w:rsidRDefault="00701A90" w:rsidP="00013DD6">
            <w:pPr>
              <w:jc w:val="both"/>
              <w:rPr>
                <w:sz w:val="22"/>
                <w:szCs w:val="22"/>
              </w:rPr>
            </w:pPr>
            <w:r>
              <w:rPr>
                <w:sz w:val="22"/>
                <w:szCs w:val="22"/>
              </w:rPr>
              <w:t xml:space="preserve">Ja </w:t>
            </w:r>
            <w:r w:rsidR="00013DD6">
              <w:rPr>
                <w:sz w:val="22"/>
                <w:szCs w:val="22"/>
              </w:rPr>
              <w:t>informācija par veicamajiem darbiem netika publicēta</w:t>
            </w:r>
            <w:r>
              <w:rPr>
                <w:sz w:val="22"/>
                <w:szCs w:val="22"/>
              </w:rPr>
              <w:t>, tad piemēro 100% finanšu korekciju attiecīgajiem darbiem.</w:t>
            </w:r>
          </w:p>
        </w:tc>
      </w:tr>
      <w:tr w:rsidR="002679E5" w:rsidRPr="009D07C7" w14:paraId="70F20C6B" w14:textId="77777777" w:rsidTr="00102ACE">
        <w:tc>
          <w:tcPr>
            <w:tcW w:w="5000" w:type="pct"/>
            <w:gridSpan w:val="5"/>
            <w:tcBorders>
              <w:bottom w:val="single" w:sz="4" w:space="0" w:color="auto"/>
            </w:tcBorders>
            <w:shd w:val="clear" w:color="auto" w:fill="D9D9D9"/>
          </w:tcPr>
          <w:p w14:paraId="70FE9048" w14:textId="77777777" w:rsidR="002679E5" w:rsidRPr="00F55E89" w:rsidRDefault="002679E5" w:rsidP="00E65D59">
            <w:pPr>
              <w:pStyle w:val="Text3"/>
              <w:snapToGrid w:val="0"/>
              <w:spacing w:after="0"/>
              <w:ind w:left="0"/>
              <w:rPr>
                <w:sz w:val="22"/>
                <w:szCs w:val="22"/>
                <w:highlight w:val="yellow"/>
                <w:lang w:val="lv-LV"/>
              </w:rPr>
            </w:pPr>
            <w:r w:rsidRPr="00F55E89">
              <w:rPr>
                <w:b/>
                <w:sz w:val="22"/>
                <w:szCs w:val="22"/>
                <w:lang w:val="lv-LV"/>
              </w:rPr>
              <w:t>Piedāvājuma vērtēšana</w:t>
            </w:r>
          </w:p>
        </w:tc>
      </w:tr>
      <w:tr w:rsidR="00701A90" w:rsidRPr="009D07C7" w14:paraId="55CAF13F" w14:textId="77777777" w:rsidTr="002679E5">
        <w:tc>
          <w:tcPr>
            <w:tcW w:w="276" w:type="pct"/>
            <w:tcBorders>
              <w:bottom w:val="single" w:sz="4" w:space="0" w:color="auto"/>
            </w:tcBorders>
          </w:tcPr>
          <w:p w14:paraId="10D3653A" w14:textId="77777777" w:rsidR="00701A90" w:rsidRPr="009D07C7" w:rsidRDefault="00701A90" w:rsidP="002679E5">
            <w:pPr>
              <w:numPr>
                <w:ilvl w:val="0"/>
                <w:numId w:val="1"/>
              </w:numPr>
              <w:rPr>
                <w:sz w:val="22"/>
                <w:szCs w:val="22"/>
              </w:rPr>
            </w:pPr>
          </w:p>
        </w:tc>
        <w:tc>
          <w:tcPr>
            <w:tcW w:w="1726" w:type="pct"/>
            <w:tcBorders>
              <w:bottom w:val="single" w:sz="4" w:space="0" w:color="auto"/>
            </w:tcBorders>
            <w:vAlign w:val="center"/>
          </w:tcPr>
          <w:p w14:paraId="18DF1B65" w14:textId="77777777" w:rsidR="00701A90" w:rsidRPr="0010789B" w:rsidRDefault="00701A90" w:rsidP="000A6D4F">
            <w:pPr>
              <w:jc w:val="both"/>
              <w:rPr>
                <w:sz w:val="22"/>
                <w:szCs w:val="22"/>
              </w:rPr>
            </w:pPr>
            <w:r w:rsidRPr="0010789B">
              <w:rPr>
                <w:sz w:val="22"/>
                <w:szCs w:val="22"/>
              </w:rPr>
              <w:t xml:space="preserve">Atlases kritēriju grozīšana pēc piedāvājumu atvēršanas, kā rezultātā tiek nepamatoti </w:t>
            </w:r>
            <w:r>
              <w:rPr>
                <w:sz w:val="22"/>
                <w:szCs w:val="22"/>
              </w:rPr>
              <w:t xml:space="preserve">atlasīti </w:t>
            </w:r>
            <w:r w:rsidRPr="0010789B">
              <w:rPr>
                <w:sz w:val="22"/>
                <w:szCs w:val="22"/>
              </w:rPr>
              <w:t xml:space="preserve">pretendenti </w:t>
            </w:r>
          </w:p>
          <w:p w14:paraId="422AA372" w14:textId="77777777" w:rsidR="00701A90" w:rsidRPr="0010789B" w:rsidRDefault="00701A90" w:rsidP="000A6D4F">
            <w:pPr>
              <w:jc w:val="both"/>
              <w:rPr>
                <w:sz w:val="22"/>
                <w:szCs w:val="22"/>
              </w:rPr>
            </w:pPr>
          </w:p>
          <w:p w14:paraId="78CD1744" w14:textId="77777777" w:rsidR="00701A90" w:rsidRPr="0010789B" w:rsidRDefault="00701A90" w:rsidP="000A6D4F">
            <w:pPr>
              <w:jc w:val="both"/>
              <w:rPr>
                <w:i/>
                <w:sz w:val="22"/>
                <w:szCs w:val="22"/>
              </w:rPr>
            </w:pPr>
            <w:r w:rsidRPr="0010789B">
              <w:rPr>
                <w:i/>
                <w:sz w:val="22"/>
                <w:szCs w:val="22"/>
              </w:rPr>
              <w:t>Direktīvas Nr.</w:t>
            </w:r>
            <w:r w:rsidR="000B05C5">
              <w:rPr>
                <w:i/>
                <w:sz w:val="22"/>
                <w:szCs w:val="22"/>
              </w:rPr>
              <w:t>2014/24/EK 18(1).pants, 56(1).panta 1.daļa, 58(1).pants</w:t>
            </w:r>
          </w:p>
          <w:p w14:paraId="6F027726" w14:textId="77777777" w:rsidR="00701A90" w:rsidRDefault="00701A90" w:rsidP="000A6D4F">
            <w:pPr>
              <w:jc w:val="both"/>
              <w:rPr>
                <w:i/>
                <w:sz w:val="22"/>
                <w:szCs w:val="22"/>
              </w:rPr>
            </w:pPr>
            <w:r w:rsidRPr="0010789B">
              <w:rPr>
                <w:i/>
                <w:sz w:val="22"/>
                <w:szCs w:val="22"/>
              </w:rPr>
              <w:t>Direktīvas Nr.2004/17/EK  10.pants un 54(2).pants</w:t>
            </w:r>
          </w:p>
          <w:p w14:paraId="4CA1D8ED" w14:textId="77777777" w:rsidR="00A2172D" w:rsidRDefault="00A2172D" w:rsidP="000A6D4F">
            <w:pPr>
              <w:jc w:val="both"/>
              <w:rPr>
                <w:i/>
                <w:sz w:val="22"/>
                <w:szCs w:val="22"/>
              </w:rPr>
            </w:pPr>
          </w:p>
          <w:p w14:paraId="780BDA21" w14:textId="77777777" w:rsidR="00A2172D" w:rsidRPr="00D34969" w:rsidRDefault="00A2172D" w:rsidP="00A2172D">
            <w:pPr>
              <w:jc w:val="both"/>
              <w:rPr>
                <w:sz w:val="22"/>
                <w:szCs w:val="22"/>
              </w:rPr>
            </w:pPr>
            <w:r w:rsidRPr="00A2172D">
              <w:rPr>
                <w:sz w:val="22"/>
                <w:szCs w:val="22"/>
              </w:rPr>
              <w:t xml:space="preserve">(EK 19.12.2013. vadlīniju  2.1.sadaļas </w:t>
            </w:r>
            <w:r>
              <w:rPr>
                <w:sz w:val="22"/>
                <w:szCs w:val="22"/>
              </w:rPr>
              <w:t>13</w:t>
            </w:r>
            <w:r w:rsidRPr="00A2172D">
              <w:rPr>
                <w:sz w:val="22"/>
                <w:szCs w:val="22"/>
              </w:rPr>
              <w:t>.punkts)</w:t>
            </w:r>
          </w:p>
        </w:tc>
        <w:tc>
          <w:tcPr>
            <w:tcW w:w="2061" w:type="pct"/>
            <w:tcBorders>
              <w:bottom w:val="single" w:sz="4" w:space="0" w:color="auto"/>
            </w:tcBorders>
          </w:tcPr>
          <w:p w14:paraId="79BC229D" w14:textId="77777777" w:rsidR="00701A90" w:rsidRPr="00D34969" w:rsidRDefault="00701A90" w:rsidP="000A6D4F">
            <w:pPr>
              <w:jc w:val="both"/>
              <w:rPr>
                <w:sz w:val="22"/>
                <w:szCs w:val="22"/>
              </w:rPr>
            </w:pPr>
            <w:r w:rsidRPr="00214C48">
              <w:rPr>
                <w:sz w:val="22"/>
                <w:szCs w:val="22"/>
              </w:rPr>
              <w:t xml:space="preserve">Tika mainīti atlases kritēriji atlases laikā, kā rezultātā </w:t>
            </w:r>
            <w:r>
              <w:rPr>
                <w:sz w:val="22"/>
                <w:szCs w:val="22"/>
              </w:rPr>
              <w:t>tika atlasīti</w:t>
            </w:r>
            <w:r w:rsidRPr="00214C48">
              <w:rPr>
                <w:sz w:val="22"/>
                <w:szCs w:val="22"/>
              </w:rPr>
              <w:t xml:space="preserve"> pretendenti, </w:t>
            </w:r>
            <w:r>
              <w:rPr>
                <w:sz w:val="22"/>
                <w:szCs w:val="22"/>
              </w:rPr>
              <w:t>kuri būtu neatbilstoši, ja ievērotu sākotnēji publicētos atlases kritērijus.</w:t>
            </w:r>
          </w:p>
        </w:tc>
        <w:tc>
          <w:tcPr>
            <w:tcW w:w="937" w:type="pct"/>
            <w:gridSpan w:val="2"/>
            <w:tcBorders>
              <w:bottom w:val="single" w:sz="4" w:space="0" w:color="auto"/>
            </w:tcBorders>
            <w:vAlign w:val="center"/>
          </w:tcPr>
          <w:p w14:paraId="4188E057" w14:textId="77777777" w:rsidR="00701A90" w:rsidRPr="00F06301" w:rsidRDefault="00701A90" w:rsidP="000A6D4F">
            <w:pPr>
              <w:jc w:val="both"/>
              <w:rPr>
                <w:sz w:val="22"/>
                <w:szCs w:val="22"/>
              </w:rPr>
            </w:pPr>
            <w:r w:rsidRPr="00F06301">
              <w:rPr>
                <w:sz w:val="22"/>
                <w:szCs w:val="22"/>
              </w:rPr>
              <w:t>25%</w:t>
            </w:r>
          </w:p>
          <w:p w14:paraId="3B133476" w14:textId="77777777" w:rsidR="00701A90" w:rsidRPr="00F06301" w:rsidRDefault="00701A90" w:rsidP="000A6D4F">
            <w:pPr>
              <w:jc w:val="both"/>
              <w:rPr>
                <w:sz w:val="22"/>
                <w:szCs w:val="22"/>
              </w:rPr>
            </w:pPr>
          </w:p>
          <w:p w14:paraId="6AD057F3" w14:textId="77777777" w:rsidR="00701A90" w:rsidRPr="00D34969" w:rsidRDefault="00701A90" w:rsidP="000A6D4F">
            <w:pPr>
              <w:jc w:val="both"/>
              <w:rPr>
                <w:sz w:val="22"/>
                <w:szCs w:val="22"/>
              </w:rPr>
            </w:pPr>
            <w:r w:rsidRPr="00F06301">
              <w:rPr>
                <w:sz w:val="22"/>
                <w:szCs w:val="22"/>
              </w:rPr>
              <w:t>Var samazināt uz 10% vai 5%, atkarībā no</w:t>
            </w:r>
            <w:r>
              <w:rPr>
                <w:sz w:val="22"/>
                <w:szCs w:val="22"/>
              </w:rPr>
              <w:t xml:space="preserve"> neatbilstības būtiskuma.</w:t>
            </w:r>
          </w:p>
        </w:tc>
      </w:tr>
      <w:tr w:rsidR="00701A90" w:rsidRPr="009D07C7" w14:paraId="7EB482F6" w14:textId="77777777" w:rsidTr="002679E5">
        <w:tc>
          <w:tcPr>
            <w:tcW w:w="276" w:type="pct"/>
            <w:tcBorders>
              <w:bottom w:val="single" w:sz="4" w:space="0" w:color="auto"/>
            </w:tcBorders>
          </w:tcPr>
          <w:p w14:paraId="6595F459" w14:textId="77777777" w:rsidR="00701A90" w:rsidRPr="009D07C7" w:rsidRDefault="00701A90" w:rsidP="002679E5">
            <w:pPr>
              <w:numPr>
                <w:ilvl w:val="0"/>
                <w:numId w:val="1"/>
              </w:numPr>
              <w:rPr>
                <w:sz w:val="22"/>
                <w:szCs w:val="22"/>
              </w:rPr>
            </w:pPr>
          </w:p>
        </w:tc>
        <w:tc>
          <w:tcPr>
            <w:tcW w:w="1726" w:type="pct"/>
            <w:tcBorders>
              <w:bottom w:val="single" w:sz="4" w:space="0" w:color="auto"/>
            </w:tcBorders>
            <w:vAlign w:val="center"/>
          </w:tcPr>
          <w:p w14:paraId="44CBDAD7" w14:textId="77777777" w:rsidR="00701A90" w:rsidRDefault="00701A90" w:rsidP="000A6D4F">
            <w:pPr>
              <w:jc w:val="both"/>
              <w:rPr>
                <w:i/>
                <w:sz w:val="22"/>
                <w:szCs w:val="22"/>
              </w:rPr>
            </w:pPr>
            <w:r>
              <w:rPr>
                <w:sz w:val="22"/>
                <w:szCs w:val="22"/>
              </w:rPr>
              <w:t>Atlases kritēriju grozīšana pēc piedāvājumu atvēršanas, kā rezultātā tiek nepamatoti noraidīti pretendenti</w:t>
            </w:r>
            <w:r w:rsidRPr="002214D9">
              <w:rPr>
                <w:i/>
                <w:sz w:val="22"/>
                <w:szCs w:val="22"/>
              </w:rPr>
              <w:t xml:space="preserve"> </w:t>
            </w:r>
          </w:p>
          <w:p w14:paraId="5B974225" w14:textId="77777777" w:rsidR="00701A90" w:rsidRDefault="00701A90" w:rsidP="000A6D4F">
            <w:pPr>
              <w:jc w:val="both"/>
              <w:rPr>
                <w:i/>
                <w:sz w:val="22"/>
                <w:szCs w:val="22"/>
              </w:rPr>
            </w:pPr>
          </w:p>
          <w:p w14:paraId="54D16FB0" w14:textId="77777777" w:rsidR="00C07DB5" w:rsidRPr="0010789B" w:rsidRDefault="00701A90" w:rsidP="00C07DB5">
            <w:pPr>
              <w:jc w:val="both"/>
              <w:rPr>
                <w:i/>
                <w:sz w:val="22"/>
                <w:szCs w:val="22"/>
              </w:rPr>
            </w:pPr>
            <w:r w:rsidRPr="002214D9">
              <w:rPr>
                <w:i/>
                <w:sz w:val="22"/>
                <w:szCs w:val="22"/>
              </w:rPr>
              <w:t>Direktīvas Nr.</w:t>
            </w:r>
            <w:r w:rsidR="00C07DB5">
              <w:rPr>
                <w:i/>
                <w:sz w:val="22"/>
                <w:szCs w:val="22"/>
              </w:rPr>
              <w:t>2014/24/EK 18(1).pants, 56(1).panta 1.daļa, 58(1).pants</w:t>
            </w:r>
          </w:p>
          <w:p w14:paraId="56851A76" w14:textId="77777777" w:rsidR="00701A90" w:rsidRPr="002214D9" w:rsidRDefault="00701A90" w:rsidP="000A6D4F">
            <w:pPr>
              <w:jc w:val="both"/>
              <w:rPr>
                <w:i/>
                <w:sz w:val="22"/>
                <w:szCs w:val="22"/>
              </w:rPr>
            </w:pPr>
            <w:r w:rsidRPr="002214D9">
              <w:rPr>
                <w:i/>
                <w:sz w:val="22"/>
                <w:szCs w:val="22"/>
              </w:rPr>
              <w:t xml:space="preserve">Direktīvas Nr.2004/17/EK </w:t>
            </w:r>
            <w:r>
              <w:rPr>
                <w:i/>
                <w:sz w:val="22"/>
                <w:szCs w:val="22"/>
              </w:rPr>
              <w:t xml:space="preserve"> 10</w:t>
            </w:r>
            <w:r w:rsidRPr="002214D9">
              <w:rPr>
                <w:i/>
                <w:sz w:val="22"/>
                <w:szCs w:val="22"/>
              </w:rPr>
              <w:t>.pants</w:t>
            </w:r>
            <w:r>
              <w:rPr>
                <w:i/>
                <w:sz w:val="22"/>
                <w:szCs w:val="22"/>
              </w:rPr>
              <w:t xml:space="preserve"> un 54(2).pants</w:t>
            </w:r>
          </w:p>
          <w:p w14:paraId="4B54F46A" w14:textId="77777777" w:rsidR="00701A90" w:rsidRDefault="00701A90" w:rsidP="000A6D4F">
            <w:pPr>
              <w:jc w:val="both"/>
              <w:rPr>
                <w:sz w:val="22"/>
                <w:szCs w:val="22"/>
              </w:rPr>
            </w:pPr>
          </w:p>
          <w:p w14:paraId="1531654C" w14:textId="77777777" w:rsidR="00A2172D" w:rsidRPr="00D34969" w:rsidRDefault="00A2172D" w:rsidP="00A2172D">
            <w:pPr>
              <w:jc w:val="both"/>
              <w:rPr>
                <w:sz w:val="22"/>
                <w:szCs w:val="22"/>
              </w:rPr>
            </w:pPr>
            <w:r w:rsidRPr="00A2172D">
              <w:rPr>
                <w:sz w:val="22"/>
                <w:szCs w:val="22"/>
              </w:rPr>
              <w:t xml:space="preserve">(EK 19.12.2013. vadlīniju  2.1.sadaļas </w:t>
            </w:r>
            <w:r>
              <w:rPr>
                <w:sz w:val="22"/>
                <w:szCs w:val="22"/>
              </w:rPr>
              <w:t>14</w:t>
            </w:r>
            <w:r w:rsidRPr="00A2172D">
              <w:rPr>
                <w:sz w:val="22"/>
                <w:szCs w:val="22"/>
              </w:rPr>
              <w:t>.punkts)</w:t>
            </w:r>
          </w:p>
        </w:tc>
        <w:tc>
          <w:tcPr>
            <w:tcW w:w="2061" w:type="pct"/>
            <w:tcBorders>
              <w:bottom w:val="single" w:sz="4" w:space="0" w:color="auto"/>
            </w:tcBorders>
          </w:tcPr>
          <w:p w14:paraId="2307BF78" w14:textId="77777777" w:rsidR="00701A90" w:rsidRPr="00D34969" w:rsidRDefault="00701A90" w:rsidP="000A6D4F">
            <w:pPr>
              <w:jc w:val="both"/>
              <w:rPr>
                <w:sz w:val="22"/>
                <w:szCs w:val="22"/>
              </w:rPr>
            </w:pPr>
            <w:r w:rsidRPr="00214C48">
              <w:rPr>
                <w:sz w:val="22"/>
                <w:szCs w:val="22"/>
              </w:rPr>
              <w:t xml:space="preserve">Tika mainīti atlases kritēriji atlases laikā, kā rezultātā </w:t>
            </w:r>
            <w:r>
              <w:rPr>
                <w:sz w:val="22"/>
                <w:szCs w:val="22"/>
              </w:rPr>
              <w:t>tika noraidīti</w:t>
            </w:r>
            <w:r w:rsidRPr="00214C48">
              <w:rPr>
                <w:sz w:val="22"/>
                <w:szCs w:val="22"/>
              </w:rPr>
              <w:t xml:space="preserve"> pretendenti, </w:t>
            </w:r>
            <w:r>
              <w:rPr>
                <w:sz w:val="22"/>
                <w:szCs w:val="22"/>
              </w:rPr>
              <w:t xml:space="preserve">kuri būtu atbilstoši, ja ievērotu sākotnēji publicētos atlases kritērijus. </w:t>
            </w:r>
          </w:p>
        </w:tc>
        <w:tc>
          <w:tcPr>
            <w:tcW w:w="937" w:type="pct"/>
            <w:gridSpan w:val="2"/>
            <w:tcBorders>
              <w:bottom w:val="single" w:sz="4" w:space="0" w:color="auto"/>
            </w:tcBorders>
            <w:vAlign w:val="center"/>
          </w:tcPr>
          <w:p w14:paraId="7B493489" w14:textId="77777777" w:rsidR="00701A90" w:rsidRPr="00F06301" w:rsidRDefault="00701A90" w:rsidP="000A6D4F">
            <w:pPr>
              <w:jc w:val="both"/>
              <w:rPr>
                <w:sz w:val="22"/>
                <w:szCs w:val="22"/>
              </w:rPr>
            </w:pPr>
            <w:r w:rsidRPr="00F06301">
              <w:rPr>
                <w:sz w:val="22"/>
                <w:szCs w:val="22"/>
              </w:rPr>
              <w:t>25%</w:t>
            </w:r>
          </w:p>
          <w:p w14:paraId="427152B9" w14:textId="77777777" w:rsidR="00701A90" w:rsidRPr="00F06301" w:rsidRDefault="00701A90" w:rsidP="000A6D4F">
            <w:pPr>
              <w:jc w:val="both"/>
              <w:rPr>
                <w:sz w:val="22"/>
                <w:szCs w:val="22"/>
              </w:rPr>
            </w:pPr>
          </w:p>
          <w:p w14:paraId="107F4CDD" w14:textId="77777777" w:rsidR="00701A90" w:rsidRPr="00D34969" w:rsidRDefault="00701A90" w:rsidP="000A6D4F">
            <w:pPr>
              <w:jc w:val="both"/>
              <w:rPr>
                <w:sz w:val="22"/>
                <w:szCs w:val="22"/>
              </w:rPr>
            </w:pPr>
            <w:r w:rsidRPr="00F06301">
              <w:rPr>
                <w:sz w:val="22"/>
                <w:szCs w:val="22"/>
              </w:rPr>
              <w:t xml:space="preserve">Var samazināt uz 10% vai 5%, atkarībā no </w:t>
            </w:r>
            <w:r>
              <w:rPr>
                <w:sz w:val="22"/>
                <w:szCs w:val="22"/>
              </w:rPr>
              <w:t>neatbilstības būtiskuma.</w:t>
            </w:r>
          </w:p>
        </w:tc>
      </w:tr>
      <w:tr w:rsidR="00701A90" w:rsidRPr="009D07C7" w14:paraId="1E06B219" w14:textId="77777777" w:rsidTr="002679E5">
        <w:tc>
          <w:tcPr>
            <w:tcW w:w="276" w:type="pct"/>
            <w:tcBorders>
              <w:top w:val="single" w:sz="4" w:space="0" w:color="auto"/>
              <w:left w:val="single" w:sz="4" w:space="0" w:color="auto"/>
              <w:bottom w:val="single" w:sz="4" w:space="0" w:color="auto"/>
              <w:right w:val="single" w:sz="4" w:space="0" w:color="auto"/>
            </w:tcBorders>
          </w:tcPr>
          <w:p w14:paraId="6E111EE9" w14:textId="77777777" w:rsidR="00701A90" w:rsidRPr="009D07C7" w:rsidRDefault="00701A90" w:rsidP="002679E5">
            <w:pPr>
              <w:numPr>
                <w:ilvl w:val="0"/>
                <w:numId w:val="1"/>
              </w:numPr>
              <w:rPr>
                <w:sz w:val="22"/>
                <w:szCs w:val="22"/>
              </w:rPr>
            </w:pPr>
          </w:p>
        </w:tc>
        <w:tc>
          <w:tcPr>
            <w:tcW w:w="1726" w:type="pct"/>
            <w:tcBorders>
              <w:top w:val="single" w:sz="4" w:space="0" w:color="auto"/>
              <w:left w:val="single" w:sz="4" w:space="0" w:color="auto"/>
              <w:bottom w:val="single" w:sz="4" w:space="0" w:color="auto"/>
              <w:right w:val="single" w:sz="4" w:space="0" w:color="auto"/>
            </w:tcBorders>
            <w:vAlign w:val="center"/>
          </w:tcPr>
          <w:p w14:paraId="21DBC11D" w14:textId="77777777" w:rsidR="00701A90" w:rsidRPr="00E7492A" w:rsidRDefault="00701A90" w:rsidP="000A6D4F">
            <w:pPr>
              <w:autoSpaceDE w:val="0"/>
              <w:autoSpaceDN w:val="0"/>
              <w:adjustRightInd w:val="0"/>
              <w:jc w:val="both"/>
              <w:rPr>
                <w:sz w:val="22"/>
                <w:szCs w:val="22"/>
              </w:rPr>
            </w:pPr>
            <w:r w:rsidRPr="00E7492A">
              <w:rPr>
                <w:sz w:val="22"/>
                <w:szCs w:val="22"/>
              </w:rPr>
              <w:t>Pretendentu atlase izmantojot nelikumīgus atlases vai vērtēšanas kritērijus</w:t>
            </w:r>
          </w:p>
          <w:p w14:paraId="068C41BE" w14:textId="77777777" w:rsidR="00701A90" w:rsidRDefault="00701A90" w:rsidP="000A6D4F">
            <w:pPr>
              <w:jc w:val="both"/>
              <w:rPr>
                <w:sz w:val="22"/>
                <w:szCs w:val="22"/>
              </w:rPr>
            </w:pPr>
          </w:p>
          <w:p w14:paraId="4DC2BF15" w14:textId="77777777" w:rsidR="00701A90" w:rsidRPr="002214D9" w:rsidRDefault="00701A90" w:rsidP="000A6D4F">
            <w:pPr>
              <w:jc w:val="both"/>
              <w:rPr>
                <w:i/>
                <w:sz w:val="22"/>
                <w:szCs w:val="22"/>
              </w:rPr>
            </w:pPr>
            <w:r w:rsidRPr="002214D9">
              <w:rPr>
                <w:i/>
                <w:sz w:val="22"/>
                <w:szCs w:val="22"/>
              </w:rPr>
              <w:t>Direktīvas Nr.</w:t>
            </w:r>
            <w:r w:rsidR="00C07DB5">
              <w:rPr>
                <w:i/>
                <w:sz w:val="22"/>
                <w:szCs w:val="22"/>
              </w:rPr>
              <w:t>2014/24/EK 67.pants</w:t>
            </w:r>
          </w:p>
          <w:p w14:paraId="43297726" w14:textId="77777777" w:rsidR="00701A90" w:rsidRPr="002214D9" w:rsidRDefault="00701A90" w:rsidP="000A6D4F">
            <w:pPr>
              <w:jc w:val="both"/>
              <w:rPr>
                <w:i/>
                <w:sz w:val="22"/>
                <w:szCs w:val="22"/>
              </w:rPr>
            </w:pPr>
            <w:r w:rsidRPr="002214D9">
              <w:rPr>
                <w:i/>
                <w:sz w:val="22"/>
                <w:szCs w:val="22"/>
              </w:rPr>
              <w:t xml:space="preserve">Direktīvas Nr.2004/17/EK </w:t>
            </w:r>
            <w:r>
              <w:rPr>
                <w:i/>
                <w:sz w:val="22"/>
                <w:szCs w:val="22"/>
              </w:rPr>
              <w:t xml:space="preserve"> 55</w:t>
            </w:r>
            <w:r w:rsidRPr="002214D9">
              <w:rPr>
                <w:i/>
                <w:sz w:val="22"/>
                <w:szCs w:val="22"/>
              </w:rPr>
              <w:t>.pants</w:t>
            </w:r>
          </w:p>
          <w:p w14:paraId="28CCC393" w14:textId="77777777" w:rsidR="00701A90" w:rsidRDefault="00701A90" w:rsidP="000A6D4F">
            <w:pPr>
              <w:autoSpaceDE w:val="0"/>
              <w:autoSpaceDN w:val="0"/>
              <w:adjustRightInd w:val="0"/>
              <w:rPr>
                <w:rFonts w:ascii="TimesNewRoman,Bold" w:eastAsia="Calibri" w:hAnsi="TimesNewRoman,Bold" w:cs="TimesNewRoman,Bold"/>
                <w:b/>
                <w:bCs/>
                <w:lang w:val="en-US" w:eastAsia="en-US"/>
              </w:rPr>
            </w:pPr>
          </w:p>
          <w:p w14:paraId="52779EEA" w14:textId="77777777" w:rsidR="00701A90" w:rsidRPr="00D34969" w:rsidRDefault="00A2172D" w:rsidP="00A2172D">
            <w:pPr>
              <w:jc w:val="both"/>
              <w:rPr>
                <w:sz w:val="22"/>
                <w:szCs w:val="22"/>
              </w:rPr>
            </w:pPr>
            <w:r w:rsidRPr="00A2172D">
              <w:rPr>
                <w:sz w:val="22"/>
                <w:szCs w:val="22"/>
              </w:rPr>
              <w:t xml:space="preserve">(EK 19.12.2013. vadlīniju  2.1.sadaļas </w:t>
            </w:r>
            <w:r>
              <w:rPr>
                <w:sz w:val="22"/>
                <w:szCs w:val="22"/>
              </w:rPr>
              <w:t>15</w:t>
            </w:r>
            <w:r w:rsidRPr="00A2172D">
              <w:rPr>
                <w:sz w:val="22"/>
                <w:szCs w:val="22"/>
              </w:rPr>
              <w:t>.punkts)</w:t>
            </w:r>
          </w:p>
        </w:tc>
        <w:tc>
          <w:tcPr>
            <w:tcW w:w="2061" w:type="pct"/>
            <w:tcBorders>
              <w:top w:val="single" w:sz="4" w:space="0" w:color="auto"/>
              <w:left w:val="single" w:sz="4" w:space="0" w:color="auto"/>
              <w:bottom w:val="single" w:sz="4" w:space="0" w:color="auto"/>
              <w:right w:val="single" w:sz="4" w:space="0" w:color="auto"/>
            </w:tcBorders>
            <w:vAlign w:val="center"/>
          </w:tcPr>
          <w:p w14:paraId="52185FE8" w14:textId="77777777" w:rsidR="00701A90" w:rsidRDefault="00701A90" w:rsidP="000A6D4F">
            <w:pPr>
              <w:jc w:val="both"/>
              <w:rPr>
                <w:sz w:val="22"/>
                <w:szCs w:val="22"/>
              </w:rPr>
            </w:pPr>
            <w:r>
              <w:rPr>
                <w:sz w:val="22"/>
                <w:szCs w:val="22"/>
              </w:rPr>
              <w:t xml:space="preserve">Pretendentu vērtēšanas posmā atlases kritēriji tika izmantoti kā vērtēšanas kritēriji, vai vērtēšanas kritēriji  (vai attiecīgie apakškritēriji vai vērtējuma svars), kas noteikti paziņojumā par līgumu vai iepirkuma dokumentācijā, nav piemēroti vērtējot, kā rezultātā </w:t>
            </w:r>
            <w:r w:rsidRPr="00C3569B">
              <w:rPr>
                <w:sz w:val="22"/>
                <w:szCs w:val="22"/>
              </w:rPr>
              <w:t>piemērojot nelikumīgu</w:t>
            </w:r>
            <w:r>
              <w:rPr>
                <w:sz w:val="22"/>
                <w:szCs w:val="22"/>
              </w:rPr>
              <w:t>s</w:t>
            </w:r>
            <w:r w:rsidRPr="00C3569B">
              <w:rPr>
                <w:sz w:val="22"/>
                <w:szCs w:val="22"/>
              </w:rPr>
              <w:t xml:space="preserve"> </w:t>
            </w:r>
            <w:r>
              <w:rPr>
                <w:sz w:val="22"/>
                <w:szCs w:val="22"/>
              </w:rPr>
              <w:t>atlases</w:t>
            </w:r>
            <w:r w:rsidRPr="00C3569B">
              <w:rPr>
                <w:sz w:val="22"/>
                <w:szCs w:val="22"/>
              </w:rPr>
              <w:t xml:space="preserve"> vai </w:t>
            </w:r>
            <w:r>
              <w:rPr>
                <w:sz w:val="22"/>
                <w:szCs w:val="22"/>
              </w:rPr>
              <w:t xml:space="preserve">vērtēšanas kritērijus. </w:t>
            </w:r>
          </w:p>
          <w:p w14:paraId="0C242C83" w14:textId="77777777" w:rsidR="00701A90" w:rsidRPr="00D34969" w:rsidRDefault="00701A90" w:rsidP="000A6D4F">
            <w:pPr>
              <w:jc w:val="both"/>
              <w:rPr>
                <w:sz w:val="22"/>
                <w:szCs w:val="22"/>
              </w:rPr>
            </w:pPr>
          </w:p>
        </w:tc>
        <w:tc>
          <w:tcPr>
            <w:tcW w:w="937" w:type="pct"/>
            <w:gridSpan w:val="2"/>
            <w:tcBorders>
              <w:top w:val="single" w:sz="4" w:space="0" w:color="auto"/>
              <w:left w:val="single" w:sz="4" w:space="0" w:color="auto"/>
              <w:bottom w:val="single" w:sz="4" w:space="0" w:color="auto"/>
              <w:right w:val="single" w:sz="4" w:space="0" w:color="auto"/>
            </w:tcBorders>
            <w:vAlign w:val="center"/>
          </w:tcPr>
          <w:p w14:paraId="62CC6046" w14:textId="77777777" w:rsidR="00701A90" w:rsidRPr="00F06301" w:rsidRDefault="00701A90" w:rsidP="000A6D4F">
            <w:pPr>
              <w:jc w:val="both"/>
              <w:rPr>
                <w:sz w:val="22"/>
                <w:szCs w:val="22"/>
              </w:rPr>
            </w:pPr>
            <w:r w:rsidRPr="00F06301">
              <w:rPr>
                <w:sz w:val="22"/>
                <w:szCs w:val="22"/>
              </w:rPr>
              <w:t>25%</w:t>
            </w:r>
          </w:p>
          <w:p w14:paraId="55965098" w14:textId="77777777" w:rsidR="00701A90" w:rsidRPr="00F06301" w:rsidRDefault="00701A90" w:rsidP="000A6D4F">
            <w:pPr>
              <w:jc w:val="both"/>
              <w:rPr>
                <w:sz w:val="22"/>
                <w:szCs w:val="22"/>
              </w:rPr>
            </w:pPr>
          </w:p>
          <w:p w14:paraId="029EB808" w14:textId="77777777" w:rsidR="00701A90" w:rsidRPr="00D34969" w:rsidRDefault="00701A90" w:rsidP="000A6D4F">
            <w:pPr>
              <w:jc w:val="both"/>
              <w:rPr>
                <w:sz w:val="22"/>
                <w:szCs w:val="22"/>
              </w:rPr>
            </w:pPr>
            <w:r w:rsidRPr="00F06301">
              <w:rPr>
                <w:sz w:val="22"/>
                <w:szCs w:val="22"/>
              </w:rPr>
              <w:t xml:space="preserve">Var samazināt uz 10% vai 5%, atkarībā no </w:t>
            </w:r>
            <w:r>
              <w:rPr>
                <w:sz w:val="22"/>
                <w:szCs w:val="22"/>
              </w:rPr>
              <w:t>neatbilstības būtiskuma.</w:t>
            </w:r>
          </w:p>
        </w:tc>
      </w:tr>
      <w:tr w:rsidR="00701A90" w:rsidRPr="009D07C7" w14:paraId="1AB51566" w14:textId="77777777" w:rsidTr="002679E5">
        <w:tc>
          <w:tcPr>
            <w:tcW w:w="276" w:type="pct"/>
            <w:tcBorders>
              <w:bottom w:val="single" w:sz="4" w:space="0" w:color="auto"/>
            </w:tcBorders>
          </w:tcPr>
          <w:p w14:paraId="01EB1C7D" w14:textId="77777777" w:rsidR="00701A90" w:rsidRPr="009D07C7" w:rsidRDefault="00701A90" w:rsidP="002679E5">
            <w:pPr>
              <w:numPr>
                <w:ilvl w:val="0"/>
                <w:numId w:val="1"/>
              </w:numPr>
              <w:rPr>
                <w:sz w:val="22"/>
                <w:szCs w:val="22"/>
              </w:rPr>
            </w:pPr>
          </w:p>
        </w:tc>
        <w:tc>
          <w:tcPr>
            <w:tcW w:w="1726" w:type="pct"/>
            <w:tcBorders>
              <w:bottom w:val="single" w:sz="4" w:space="0" w:color="auto"/>
            </w:tcBorders>
          </w:tcPr>
          <w:p w14:paraId="33B0A2C1" w14:textId="77777777" w:rsidR="00701A90" w:rsidRDefault="00701A90" w:rsidP="000A6D4F">
            <w:pPr>
              <w:jc w:val="both"/>
              <w:rPr>
                <w:sz w:val="22"/>
                <w:szCs w:val="22"/>
              </w:rPr>
            </w:pPr>
            <w:r>
              <w:rPr>
                <w:sz w:val="22"/>
                <w:szCs w:val="22"/>
              </w:rPr>
              <w:t>P</w:t>
            </w:r>
            <w:r w:rsidRPr="006A7B64">
              <w:rPr>
                <w:sz w:val="22"/>
                <w:szCs w:val="22"/>
              </w:rPr>
              <w:t>ārredzamības</w:t>
            </w:r>
            <w:r>
              <w:rPr>
                <w:sz w:val="22"/>
                <w:szCs w:val="22"/>
              </w:rPr>
              <w:t xml:space="preserve"> (caurspīdīguma) </w:t>
            </w:r>
            <w:r w:rsidR="00F928D4">
              <w:rPr>
                <w:sz w:val="22"/>
                <w:szCs w:val="22"/>
              </w:rPr>
              <w:t>un/vai</w:t>
            </w:r>
            <w:r>
              <w:rPr>
                <w:sz w:val="22"/>
                <w:szCs w:val="22"/>
              </w:rPr>
              <w:t xml:space="preserve"> vienlīdzīgas attieksmes trūkums iepirkuma vērtēšanas posmā. </w:t>
            </w:r>
          </w:p>
          <w:p w14:paraId="1A609A90" w14:textId="77777777" w:rsidR="00701A90" w:rsidRDefault="00701A90" w:rsidP="000A6D4F">
            <w:pPr>
              <w:jc w:val="both"/>
              <w:rPr>
                <w:sz w:val="22"/>
                <w:szCs w:val="22"/>
              </w:rPr>
            </w:pPr>
          </w:p>
          <w:p w14:paraId="53F3123F" w14:textId="77777777" w:rsidR="001F75E7" w:rsidRDefault="00701A90" w:rsidP="000A6D4F">
            <w:pPr>
              <w:jc w:val="both"/>
              <w:rPr>
                <w:i/>
                <w:sz w:val="22"/>
                <w:szCs w:val="22"/>
              </w:rPr>
            </w:pPr>
            <w:r w:rsidRPr="002214D9">
              <w:rPr>
                <w:i/>
                <w:sz w:val="22"/>
                <w:szCs w:val="22"/>
              </w:rPr>
              <w:t>Direktīvas Nr.</w:t>
            </w:r>
            <w:r w:rsidR="002D3092">
              <w:rPr>
                <w:i/>
                <w:sz w:val="22"/>
                <w:szCs w:val="22"/>
              </w:rPr>
              <w:t>2014/24/EK 18(1).pants, 84.pants</w:t>
            </w:r>
          </w:p>
          <w:p w14:paraId="071645A1" w14:textId="747BFF03" w:rsidR="00701A90" w:rsidRPr="002214D9" w:rsidRDefault="00701A90" w:rsidP="000A6D4F">
            <w:pPr>
              <w:jc w:val="both"/>
              <w:rPr>
                <w:i/>
                <w:sz w:val="22"/>
                <w:szCs w:val="22"/>
              </w:rPr>
            </w:pPr>
            <w:r w:rsidRPr="002214D9">
              <w:rPr>
                <w:i/>
                <w:sz w:val="22"/>
                <w:szCs w:val="22"/>
              </w:rPr>
              <w:t>Direktīvas Nr.2004/17/EK 10.pants</w:t>
            </w:r>
          </w:p>
          <w:p w14:paraId="7C79F79E" w14:textId="77777777" w:rsidR="00701A90" w:rsidRDefault="00701A90" w:rsidP="000A6D4F">
            <w:pPr>
              <w:jc w:val="both"/>
              <w:rPr>
                <w:sz w:val="22"/>
                <w:szCs w:val="22"/>
              </w:rPr>
            </w:pPr>
          </w:p>
          <w:p w14:paraId="6E1D6933" w14:textId="77777777" w:rsidR="00A2172D" w:rsidRPr="00D34969" w:rsidRDefault="00A2172D" w:rsidP="00A2172D">
            <w:pPr>
              <w:jc w:val="both"/>
              <w:rPr>
                <w:sz w:val="22"/>
                <w:szCs w:val="22"/>
              </w:rPr>
            </w:pPr>
            <w:r w:rsidRPr="00A2172D">
              <w:rPr>
                <w:sz w:val="22"/>
                <w:szCs w:val="22"/>
              </w:rPr>
              <w:t xml:space="preserve">(EK 19.12.2013. vadlīniju  2.1.sadaļas </w:t>
            </w:r>
            <w:r>
              <w:rPr>
                <w:sz w:val="22"/>
                <w:szCs w:val="22"/>
              </w:rPr>
              <w:t>16</w:t>
            </w:r>
            <w:r w:rsidRPr="00A2172D">
              <w:rPr>
                <w:sz w:val="22"/>
                <w:szCs w:val="22"/>
              </w:rPr>
              <w:t>.punkts)</w:t>
            </w:r>
          </w:p>
        </w:tc>
        <w:tc>
          <w:tcPr>
            <w:tcW w:w="2061" w:type="pct"/>
            <w:tcBorders>
              <w:bottom w:val="single" w:sz="4" w:space="0" w:color="auto"/>
            </w:tcBorders>
          </w:tcPr>
          <w:p w14:paraId="7959ACA8" w14:textId="77777777" w:rsidR="00701A90" w:rsidRPr="006A7B64" w:rsidRDefault="00701A90" w:rsidP="000A6D4F">
            <w:pPr>
              <w:jc w:val="both"/>
              <w:rPr>
                <w:sz w:val="22"/>
                <w:szCs w:val="22"/>
              </w:rPr>
            </w:pPr>
            <w:r w:rsidRPr="006A7B64">
              <w:rPr>
                <w:sz w:val="22"/>
                <w:szCs w:val="22"/>
              </w:rPr>
              <w:t xml:space="preserve">Revīzijas (audita) liecības, jo īpaši attiecībā uz vērtēšanas laikā piešķirtajiem punktiem </w:t>
            </w:r>
            <w:r w:rsidRPr="006A7B64">
              <w:rPr>
                <w:sz w:val="22"/>
                <w:szCs w:val="22"/>
              </w:rPr>
              <w:br/>
              <w:t>katram piedāvājumam</w:t>
            </w:r>
            <w:r>
              <w:rPr>
                <w:sz w:val="22"/>
                <w:szCs w:val="22"/>
              </w:rPr>
              <w:t>,</w:t>
            </w:r>
            <w:r w:rsidRPr="006A7B64">
              <w:rPr>
                <w:sz w:val="22"/>
                <w:szCs w:val="22"/>
              </w:rPr>
              <w:t xml:space="preserve"> ir neskaidras / nepamatotas /</w:t>
            </w:r>
            <w:r>
              <w:rPr>
                <w:sz w:val="22"/>
                <w:szCs w:val="22"/>
              </w:rPr>
              <w:t xml:space="preserve"> </w:t>
            </w:r>
            <w:r w:rsidRPr="006A7B64">
              <w:rPr>
                <w:sz w:val="22"/>
                <w:szCs w:val="22"/>
              </w:rPr>
              <w:t xml:space="preserve">trūkst pārredzamības (caurspīdīguma) vai </w:t>
            </w:r>
            <w:r>
              <w:rPr>
                <w:sz w:val="22"/>
                <w:szCs w:val="22"/>
              </w:rPr>
              <w:t xml:space="preserve">tās </w:t>
            </w:r>
            <w:r w:rsidRPr="006A7B64">
              <w:rPr>
                <w:sz w:val="22"/>
                <w:szCs w:val="22"/>
              </w:rPr>
              <w:t>ne</w:t>
            </w:r>
            <w:r>
              <w:rPr>
                <w:sz w:val="22"/>
                <w:szCs w:val="22"/>
              </w:rPr>
              <w:t>pastāv (nav pieejamas</w:t>
            </w:r>
            <w:r w:rsidR="001A07CF">
              <w:rPr>
                <w:sz w:val="22"/>
                <w:szCs w:val="22"/>
              </w:rPr>
              <w:t>)</w:t>
            </w:r>
            <w:r w:rsidRPr="006A7B64">
              <w:rPr>
                <w:sz w:val="22"/>
                <w:szCs w:val="22"/>
              </w:rPr>
              <w:t>.</w:t>
            </w:r>
          </w:p>
          <w:p w14:paraId="00418EDD" w14:textId="77777777" w:rsidR="00701A90" w:rsidRPr="006A7B64" w:rsidRDefault="00701A90" w:rsidP="000A6D4F">
            <w:pPr>
              <w:jc w:val="both"/>
              <w:rPr>
                <w:sz w:val="22"/>
                <w:szCs w:val="22"/>
              </w:rPr>
            </w:pPr>
          </w:p>
          <w:p w14:paraId="6E126210" w14:textId="77777777" w:rsidR="00701A90" w:rsidRPr="006A7B64" w:rsidRDefault="00F928D4" w:rsidP="000A6D4F">
            <w:pPr>
              <w:jc w:val="both"/>
              <w:rPr>
                <w:sz w:val="22"/>
                <w:szCs w:val="22"/>
              </w:rPr>
            </w:pPr>
            <w:r>
              <w:rPr>
                <w:sz w:val="22"/>
                <w:szCs w:val="22"/>
              </w:rPr>
              <w:t>Un/vai</w:t>
            </w:r>
          </w:p>
          <w:p w14:paraId="5248FF57" w14:textId="77777777" w:rsidR="00701A90" w:rsidRPr="006A7B64" w:rsidRDefault="00701A90" w:rsidP="000A6D4F">
            <w:pPr>
              <w:jc w:val="both"/>
              <w:rPr>
                <w:sz w:val="22"/>
                <w:szCs w:val="22"/>
              </w:rPr>
            </w:pPr>
          </w:p>
          <w:p w14:paraId="55789AAD" w14:textId="77777777" w:rsidR="00701A90" w:rsidRPr="00D34969" w:rsidRDefault="00E41FF3" w:rsidP="000A6D4F">
            <w:pPr>
              <w:jc w:val="both"/>
              <w:rPr>
                <w:sz w:val="22"/>
                <w:szCs w:val="22"/>
              </w:rPr>
            </w:pPr>
            <w:r>
              <w:rPr>
                <w:sz w:val="22"/>
                <w:szCs w:val="22"/>
              </w:rPr>
              <w:t>Piedāvājuma vērtēšanas</w:t>
            </w:r>
            <w:r w:rsidRPr="006A7B64">
              <w:rPr>
                <w:sz w:val="22"/>
                <w:szCs w:val="22"/>
              </w:rPr>
              <w:t xml:space="preserve"> </w:t>
            </w:r>
            <w:r w:rsidR="00701A90" w:rsidRPr="006A7B64">
              <w:rPr>
                <w:sz w:val="22"/>
                <w:szCs w:val="22"/>
              </w:rPr>
              <w:t xml:space="preserve">ziņojums neeksistē vai </w:t>
            </w:r>
            <w:r w:rsidR="00701A90">
              <w:rPr>
                <w:sz w:val="22"/>
                <w:szCs w:val="22"/>
              </w:rPr>
              <w:t xml:space="preserve">tas neietver visus elementus, </w:t>
            </w:r>
            <w:r w:rsidR="00701A90" w:rsidRPr="006A7B64">
              <w:rPr>
                <w:sz w:val="22"/>
                <w:szCs w:val="22"/>
              </w:rPr>
              <w:t>kas vajadzīgi saskaņā ar attiecīgajiem noteikumiem.</w:t>
            </w:r>
          </w:p>
        </w:tc>
        <w:tc>
          <w:tcPr>
            <w:tcW w:w="937" w:type="pct"/>
            <w:gridSpan w:val="2"/>
            <w:tcBorders>
              <w:bottom w:val="single" w:sz="4" w:space="0" w:color="auto"/>
            </w:tcBorders>
            <w:vAlign w:val="center"/>
          </w:tcPr>
          <w:p w14:paraId="0ED2B22C" w14:textId="77777777" w:rsidR="00701A90" w:rsidRPr="00F06301" w:rsidRDefault="00701A90" w:rsidP="000A6D4F">
            <w:pPr>
              <w:jc w:val="both"/>
              <w:rPr>
                <w:sz w:val="22"/>
                <w:szCs w:val="22"/>
              </w:rPr>
            </w:pPr>
            <w:r w:rsidRPr="00F06301">
              <w:rPr>
                <w:sz w:val="22"/>
                <w:szCs w:val="22"/>
              </w:rPr>
              <w:t>25%</w:t>
            </w:r>
          </w:p>
          <w:p w14:paraId="4409F4DC" w14:textId="77777777" w:rsidR="00701A90" w:rsidRPr="00F06301" w:rsidRDefault="00701A90" w:rsidP="000A6D4F">
            <w:pPr>
              <w:jc w:val="both"/>
              <w:rPr>
                <w:sz w:val="22"/>
                <w:szCs w:val="22"/>
              </w:rPr>
            </w:pPr>
          </w:p>
          <w:p w14:paraId="4D038293" w14:textId="77777777" w:rsidR="00701A90" w:rsidRPr="00D34969" w:rsidRDefault="00701A90" w:rsidP="000A6D4F">
            <w:pPr>
              <w:jc w:val="both"/>
              <w:rPr>
                <w:sz w:val="22"/>
                <w:szCs w:val="22"/>
              </w:rPr>
            </w:pPr>
            <w:r w:rsidRPr="00F06301">
              <w:rPr>
                <w:sz w:val="22"/>
                <w:szCs w:val="22"/>
              </w:rPr>
              <w:t xml:space="preserve">Var samazināt uz 10% vai 5%, atkarībā no </w:t>
            </w:r>
            <w:r>
              <w:rPr>
                <w:sz w:val="22"/>
                <w:szCs w:val="22"/>
              </w:rPr>
              <w:t>neatbilstības būtiskuma.</w:t>
            </w:r>
          </w:p>
        </w:tc>
      </w:tr>
      <w:tr w:rsidR="00701A90" w:rsidRPr="009D07C7" w14:paraId="5F5AED2D" w14:textId="77777777" w:rsidTr="002679E5">
        <w:tc>
          <w:tcPr>
            <w:tcW w:w="276" w:type="pct"/>
            <w:tcBorders>
              <w:bottom w:val="single" w:sz="4" w:space="0" w:color="auto"/>
            </w:tcBorders>
          </w:tcPr>
          <w:p w14:paraId="3002B549" w14:textId="77777777" w:rsidR="00701A90" w:rsidRPr="009D07C7" w:rsidRDefault="00701A90" w:rsidP="002679E5">
            <w:pPr>
              <w:numPr>
                <w:ilvl w:val="0"/>
                <w:numId w:val="1"/>
              </w:numPr>
              <w:rPr>
                <w:sz w:val="22"/>
                <w:szCs w:val="22"/>
              </w:rPr>
            </w:pPr>
          </w:p>
        </w:tc>
        <w:tc>
          <w:tcPr>
            <w:tcW w:w="1726" w:type="pct"/>
            <w:tcBorders>
              <w:bottom w:val="single" w:sz="4" w:space="0" w:color="auto"/>
            </w:tcBorders>
            <w:vAlign w:val="center"/>
          </w:tcPr>
          <w:p w14:paraId="72F17314" w14:textId="77777777" w:rsidR="00701A90" w:rsidRDefault="00701A90" w:rsidP="000A6D4F">
            <w:pPr>
              <w:jc w:val="both"/>
              <w:rPr>
                <w:sz w:val="22"/>
                <w:szCs w:val="22"/>
              </w:rPr>
            </w:pPr>
            <w:r>
              <w:rPr>
                <w:sz w:val="22"/>
                <w:szCs w:val="22"/>
              </w:rPr>
              <w:t>Grozījumi iepirkuma dokumentos vērtēšanas posmā</w:t>
            </w:r>
          </w:p>
          <w:p w14:paraId="33D8C3FF" w14:textId="77777777" w:rsidR="00701A90" w:rsidRDefault="00701A90" w:rsidP="000A6D4F">
            <w:pPr>
              <w:jc w:val="both"/>
              <w:rPr>
                <w:sz w:val="22"/>
                <w:szCs w:val="22"/>
              </w:rPr>
            </w:pPr>
          </w:p>
          <w:p w14:paraId="1DE3DFB0" w14:textId="77777777" w:rsidR="00701A90" w:rsidRPr="002214D9" w:rsidRDefault="00701A90" w:rsidP="000A6D4F">
            <w:pPr>
              <w:jc w:val="both"/>
              <w:rPr>
                <w:i/>
                <w:sz w:val="22"/>
                <w:szCs w:val="22"/>
              </w:rPr>
            </w:pPr>
            <w:r w:rsidRPr="002214D9">
              <w:rPr>
                <w:i/>
                <w:sz w:val="22"/>
                <w:szCs w:val="22"/>
              </w:rPr>
              <w:t>Direktīvas Nr.</w:t>
            </w:r>
            <w:r w:rsidR="002D3092">
              <w:rPr>
                <w:i/>
                <w:sz w:val="22"/>
                <w:szCs w:val="22"/>
              </w:rPr>
              <w:t>2014/24/EK 18(1).pants,</w:t>
            </w:r>
          </w:p>
          <w:p w14:paraId="4A091271" w14:textId="77777777" w:rsidR="00701A90" w:rsidRPr="002214D9" w:rsidRDefault="00701A90" w:rsidP="000A6D4F">
            <w:pPr>
              <w:jc w:val="both"/>
              <w:rPr>
                <w:i/>
                <w:sz w:val="22"/>
                <w:szCs w:val="22"/>
              </w:rPr>
            </w:pPr>
            <w:r w:rsidRPr="002214D9">
              <w:rPr>
                <w:i/>
                <w:sz w:val="22"/>
                <w:szCs w:val="22"/>
              </w:rPr>
              <w:t>Direktīvas Nr.2004/17/EK 10.pants</w:t>
            </w:r>
          </w:p>
          <w:p w14:paraId="59155908" w14:textId="77777777" w:rsidR="00701A90" w:rsidRDefault="00701A90" w:rsidP="000A6D4F">
            <w:pPr>
              <w:jc w:val="both"/>
              <w:rPr>
                <w:sz w:val="22"/>
                <w:szCs w:val="22"/>
              </w:rPr>
            </w:pPr>
          </w:p>
          <w:p w14:paraId="23057BE6" w14:textId="77777777" w:rsidR="00A2172D" w:rsidRPr="00D34969" w:rsidRDefault="00A2172D" w:rsidP="00A2172D">
            <w:pPr>
              <w:jc w:val="both"/>
              <w:rPr>
                <w:sz w:val="22"/>
                <w:szCs w:val="22"/>
              </w:rPr>
            </w:pPr>
            <w:r w:rsidRPr="00A2172D">
              <w:rPr>
                <w:sz w:val="22"/>
                <w:szCs w:val="22"/>
              </w:rPr>
              <w:t xml:space="preserve">(EK 19.12.2013. vadlīniju  2.1.sadaļas </w:t>
            </w:r>
            <w:r>
              <w:rPr>
                <w:sz w:val="22"/>
                <w:szCs w:val="22"/>
              </w:rPr>
              <w:t>17</w:t>
            </w:r>
            <w:r w:rsidRPr="00A2172D">
              <w:rPr>
                <w:sz w:val="22"/>
                <w:szCs w:val="22"/>
              </w:rPr>
              <w:t>.punkts)</w:t>
            </w:r>
          </w:p>
        </w:tc>
        <w:tc>
          <w:tcPr>
            <w:tcW w:w="2082" w:type="pct"/>
            <w:gridSpan w:val="2"/>
            <w:tcBorders>
              <w:bottom w:val="single" w:sz="4" w:space="0" w:color="auto"/>
            </w:tcBorders>
            <w:vAlign w:val="center"/>
          </w:tcPr>
          <w:p w14:paraId="246EE0ED" w14:textId="77777777" w:rsidR="00701A90" w:rsidRPr="00D34969" w:rsidRDefault="00701A90" w:rsidP="000A6D4F">
            <w:pPr>
              <w:jc w:val="both"/>
              <w:rPr>
                <w:sz w:val="22"/>
                <w:szCs w:val="22"/>
              </w:rPr>
            </w:pPr>
            <w:r>
              <w:rPr>
                <w:sz w:val="22"/>
                <w:szCs w:val="22"/>
              </w:rPr>
              <w:t xml:space="preserve">Līgumslēdzējs pieļauj pretendentam veikt izmaiņas tā piedāvājumā iepirkuma vērtēšanas posmā. </w:t>
            </w:r>
          </w:p>
        </w:tc>
        <w:tc>
          <w:tcPr>
            <w:tcW w:w="916" w:type="pct"/>
            <w:tcBorders>
              <w:bottom w:val="single" w:sz="4" w:space="0" w:color="auto"/>
            </w:tcBorders>
            <w:vAlign w:val="center"/>
          </w:tcPr>
          <w:p w14:paraId="4CB7AAAE" w14:textId="77777777" w:rsidR="00701A90" w:rsidRPr="00F06301" w:rsidRDefault="00701A90" w:rsidP="000A6D4F">
            <w:pPr>
              <w:jc w:val="both"/>
              <w:rPr>
                <w:sz w:val="22"/>
                <w:szCs w:val="22"/>
              </w:rPr>
            </w:pPr>
            <w:r w:rsidRPr="00F06301">
              <w:rPr>
                <w:sz w:val="22"/>
                <w:szCs w:val="22"/>
              </w:rPr>
              <w:t>25%</w:t>
            </w:r>
          </w:p>
          <w:p w14:paraId="3D1BB319" w14:textId="77777777" w:rsidR="00701A90" w:rsidRPr="00F06301" w:rsidRDefault="00701A90" w:rsidP="000A6D4F">
            <w:pPr>
              <w:jc w:val="both"/>
              <w:rPr>
                <w:sz w:val="22"/>
                <w:szCs w:val="22"/>
              </w:rPr>
            </w:pPr>
          </w:p>
          <w:p w14:paraId="6AB29069" w14:textId="77777777" w:rsidR="00701A90" w:rsidRPr="00D34969" w:rsidRDefault="00701A90" w:rsidP="000A6D4F">
            <w:pPr>
              <w:jc w:val="both"/>
              <w:rPr>
                <w:sz w:val="22"/>
                <w:szCs w:val="22"/>
              </w:rPr>
            </w:pPr>
            <w:r w:rsidRPr="00F06301">
              <w:rPr>
                <w:sz w:val="22"/>
                <w:szCs w:val="22"/>
              </w:rPr>
              <w:t xml:space="preserve">Var samazināt uz 10% vai 5%, atkarībā no </w:t>
            </w:r>
            <w:r>
              <w:rPr>
                <w:sz w:val="22"/>
                <w:szCs w:val="22"/>
              </w:rPr>
              <w:t>neatbilstības būtiskuma.</w:t>
            </w:r>
          </w:p>
        </w:tc>
      </w:tr>
      <w:tr w:rsidR="00701A90" w:rsidRPr="009D07C7" w14:paraId="681D46C6" w14:textId="77777777" w:rsidTr="002679E5">
        <w:tc>
          <w:tcPr>
            <w:tcW w:w="276" w:type="pct"/>
            <w:tcBorders>
              <w:bottom w:val="single" w:sz="4" w:space="0" w:color="auto"/>
            </w:tcBorders>
          </w:tcPr>
          <w:p w14:paraId="3E49B9CE" w14:textId="77777777" w:rsidR="00701A90" w:rsidRPr="009D07C7" w:rsidRDefault="00701A90" w:rsidP="002679E5">
            <w:pPr>
              <w:numPr>
                <w:ilvl w:val="0"/>
                <w:numId w:val="1"/>
              </w:numPr>
              <w:rPr>
                <w:sz w:val="22"/>
                <w:szCs w:val="22"/>
              </w:rPr>
            </w:pPr>
          </w:p>
        </w:tc>
        <w:tc>
          <w:tcPr>
            <w:tcW w:w="1726" w:type="pct"/>
            <w:tcBorders>
              <w:bottom w:val="single" w:sz="4" w:space="0" w:color="auto"/>
            </w:tcBorders>
            <w:vAlign w:val="center"/>
          </w:tcPr>
          <w:p w14:paraId="2D69E13D" w14:textId="77777777" w:rsidR="00701A90" w:rsidRDefault="00701A90" w:rsidP="000A6D4F">
            <w:pPr>
              <w:autoSpaceDE w:val="0"/>
              <w:autoSpaceDN w:val="0"/>
              <w:adjustRightInd w:val="0"/>
              <w:rPr>
                <w:sz w:val="22"/>
                <w:szCs w:val="22"/>
              </w:rPr>
            </w:pPr>
            <w:r w:rsidRPr="002B6B34">
              <w:rPr>
                <w:sz w:val="22"/>
                <w:szCs w:val="22"/>
              </w:rPr>
              <w:t>Pārrunas piešķirš</w:t>
            </w:r>
            <w:r>
              <w:rPr>
                <w:sz w:val="22"/>
                <w:szCs w:val="22"/>
              </w:rPr>
              <w:t xml:space="preserve">anas </w:t>
            </w:r>
            <w:r w:rsidRPr="002B6B34">
              <w:rPr>
                <w:sz w:val="22"/>
                <w:szCs w:val="22"/>
              </w:rPr>
              <w:t>procedūras laikā</w:t>
            </w:r>
          </w:p>
          <w:p w14:paraId="51F2ACFD" w14:textId="77777777" w:rsidR="00701A90" w:rsidRDefault="00701A90" w:rsidP="000A6D4F">
            <w:pPr>
              <w:jc w:val="both"/>
              <w:rPr>
                <w:i/>
                <w:sz w:val="22"/>
                <w:szCs w:val="22"/>
              </w:rPr>
            </w:pPr>
          </w:p>
          <w:p w14:paraId="65E338DB" w14:textId="77777777" w:rsidR="00701A90" w:rsidRPr="002214D9" w:rsidRDefault="00701A90" w:rsidP="000A6D4F">
            <w:pPr>
              <w:jc w:val="both"/>
              <w:rPr>
                <w:i/>
                <w:sz w:val="22"/>
                <w:szCs w:val="22"/>
              </w:rPr>
            </w:pPr>
            <w:r w:rsidRPr="002214D9">
              <w:rPr>
                <w:i/>
                <w:sz w:val="22"/>
                <w:szCs w:val="22"/>
              </w:rPr>
              <w:t>Direktīvas Nr.</w:t>
            </w:r>
            <w:r w:rsidR="002D3092">
              <w:rPr>
                <w:i/>
                <w:sz w:val="22"/>
                <w:szCs w:val="22"/>
              </w:rPr>
              <w:t>2014/24/EK 18(1).pants,</w:t>
            </w:r>
          </w:p>
          <w:p w14:paraId="59090652" w14:textId="77777777" w:rsidR="00701A90" w:rsidRPr="002214D9" w:rsidRDefault="00701A90" w:rsidP="000A6D4F">
            <w:pPr>
              <w:jc w:val="both"/>
              <w:rPr>
                <w:i/>
                <w:sz w:val="22"/>
                <w:szCs w:val="22"/>
              </w:rPr>
            </w:pPr>
            <w:r w:rsidRPr="002214D9">
              <w:rPr>
                <w:i/>
                <w:sz w:val="22"/>
                <w:szCs w:val="22"/>
              </w:rPr>
              <w:t>Direktīvas Nr.2004/17/EK 10.pants</w:t>
            </w:r>
          </w:p>
          <w:p w14:paraId="4A444CAF" w14:textId="77777777" w:rsidR="00701A90" w:rsidRDefault="00701A90" w:rsidP="000A6D4F">
            <w:pPr>
              <w:autoSpaceDE w:val="0"/>
              <w:autoSpaceDN w:val="0"/>
              <w:adjustRightInd w:val="0"/>
              <w:rPr>
                <w:sz w:val="22"/>
                <w:szCs w:val="22"/>
              </w:rPr>
            </w:pPr>
          </w:p>
          <w:p w14:paraId="393EA7B2" w14:textId="77777777" w:rsidR="00A2172D" w:rsidRPr="00D34969" w:rsidRDefault="00A2172D" w:rsidP="00A2172D">
            <w:pPr>
              <w:autoSpaceDE w:val="0"/>
              <w:autoSpaceDN w:val="0"/>
              <w:adjustRightInd w:val="0"/>
              <w:rPr>
                <w:sz w:val="22"/>
                <w:szCs w:val="22"/>
              </w:rPr>
            </w:pPr>
            <w:r w:rsidRPr="00A2172D">
              <w:rPr>
                <w:sz w:val="22"/>
                <w:szCs w:val="22"/>
              </w:rPr>
              <w:t xml:space="preserve">(EK 19.12.2013. vadlīniju  2.1.sadaļas </w:t>
            </w:r>
            <w:r>
              <w:rPr>
                <w:sz w:val="22"/>
                <w:szCs w:val="22"/>
              </w:rPr>
              <w:t>18</w:t>
            </w:r>
            <w:r w:rsidRPr="00A2172D">
              <w:rPr>
                <w:sz w:val="22"/>
                <w:szCs w:val="22"/>
              </w:rPr>
              <w:t>.punkts)</w:t>
            </w:r>
          </w:p>
        </w:tc>
        <w:tc>
          <w:tcPr>
            <w:tcW w:w="2082" w:type="pct"/>
            <w:gridSpan w:val="2"/>
            <w:tcBorders>
              <w:bottom w:val="single" w:sz="4" w:space="0" w:color="auto"/>
            </w:tcBorders>
            <w:vAlign w:val="center"/>
          </w:tcPr>
          <w:p w14:paraId="33B43480" w14:textId="77777777" w:rsidR="00701A90" w:rsidRPr="00D34969" w:rsidRDefault="00E41FF3" w:rsidP="00E41FF3">
            <w:pPr>
              <w:jc w:val="both"/>
              <w:rPr>
                <w:sz w:val="22"/>
                <w:szCs w:val="22"/>
              </w:rPr>
            </w:pPr>
            <w:r>
              <w:rPr>
                <w:sz w:val="22"/>
                <w:szCs w:val="22"/>
              </w:rPr>
              <w:t>Atklātā</w:t>
            </w:r>
            <w:r w:rsidR="00701A90" w:rsidRPr="002B6B34">
              <w:rPr>
                <w:sz w:val="22"/>
                <w:szCs w:val="22"/>
              </w:rPr>
              <w:t xml:space="preserve"> vai </w:t>
            </w:r>
            <w:r w:rsidRPr="002B6B34">
              <w:rPr>
                <w:sz w:val="22"/>
                <w:szCs w:val="22"/>
              </w:rPr>
              <w:t>slēgt</w:t>
            </w:r>
            <w:r>
              <w:rPr>
                <w:sz w:val="22"/>
                <w:szCs w:val="22"/>
              </w:rPr>
              <w:t>ā</w:t>
            </w:r>
            <w:r w:rsidR="00490299">
              <w:rPr>
                <w:sz w:val="22"/>
                <w:szCs w:val="22"/>
              </w:rPr>
              <w:t xml:space="preserve"> </w:t>
            </w:r>
            <w:r>
              <w:rPr>
                <w:sz w:val="22"/>
                <w:szCs w:val="22"/>
              </w:rPr>
              <w:t>iepirkumā</w:t>
            </w:r>
            <w:r w:rsidR="00701A90" w:rsidRPr="002B6B34">
              <w:rPr>
                <w:sz w:val="22"/>
                <w:szCs w:val="22"/>
              </w:rPr>
              <w:t xml:space="preserve">, </w:t>
            </w:r>
            <w:r w:rsidR="00701A90" w:rsidRPr="002B6B34">
              <w:rPr>
                <w:sz w:val="22"/>
                <w:szCs w:val="22"/>
              </w:rPr>
              <w:br/>
              <w:t xml:space="preserve">līgumslēdzēja iestāde risina sarunas ar pretendentiem </w:t>
            </w:r>
            <w:r w:rsidR="00701A90" w:rsidRPr="002B6B34">
              <w:rPr>
                <w:sz w:val="22"/>
                <w:szCs w:val="22"/>
              </w:rPr>
              <w:br/>
              <w:t xml:space="preserve">vērtēšanas </w:t>
            </w:r>
            <w:r w:rsidR="00701A90">
              <w:rPr>
                <w:sz w:val="22"/>
                <w:szCs w:val="22"/>
              </w:rPr>
              <w:t>posmā, rezultātā veicot</w:t>
            </w:r>
            <w:r w:rsidR="00701A90" w:rsidRPr="002B6B34">
              <w:rPr>
                <w:sz w:val="22"/>
                <w:szCs w:val="22"/>
              </w:rPr>
              <w:t xml:space="preserve"> būtiskas izmaiņas </w:t>
            </w:r>
            <w:r w:rsidR="00701A90" w:rsidRPr="002B6B34">
              <w:rPr>
                <w:sz w:val="22"/>
                <w:szCs w:val="22"/>
              </w:rPr>
              <w:br/>
              <w:t>sākotnēj</w:t>
            </w:r>
            <w:r w:rsidR="00701A90">
              <w:rPr>
                <w:sz w:val="22"/>
                <w:szCs w:val="22"/>
              </w:rPr>
              <w:t>os</w:t>
            </w:r>
            <w:r w:rsidR="00701A90" w:rsidRPr="002B6B34">
              <w:rPr>
                <w:sz w:val="22"/>
                <w:szCs w:val="22"/>
              </w:rPr>
              <w:t xml:space="preserve"> nosacījum</w:t>
            </w:r>
            <w:r w:rsidR="00701A90">
              <w:rPr>
                <w:sz w:val="22"/>
                <w:szCs w:val="22"/>
              </w:rPr>
              <w:t>os</w:t>
            </w:r>
            <w:r w:rsidR="00701A90" w:rsidRPr="002B6B34">
              <w:rPr>
                <w:sz w:val="22"/>
                <w:szCs w:val="22"/>
              </w:rPr>
              <w:t>, kas izklāstīti paziņojumā par līgumu vai</w:t>
            </w:r>
            <w:r w:rsidR="00701A90">
              <w:rPr>
                <w:sz w:val="22"/>
                <w:szCs w:val="22"/>
              </w:rPr>
              <w:t xml:space="preserve"> iepirkuma tehniskajā specifikācijā.</w:t>
            </w:r>
          </w:p>
        </w:tc>
        <w:tc>
          <w:tcPr>
            <w:tcW w:w="916" w:type="pct"/>
            <w:tcBorders>
              <w:bottom w:val="single" w:sz="4" w:space="0" w:color="auto"/>
            </w:tcBorders>
            <w:vAlign w:val="center"/>
          </w:tcPr>
          <w:p w14:paraId="234EEE5D" w14:textId="77777777" w:rsidR="00701A90" w:rsidRPr="00F06301" w:rsidRDefault="00701A90" w:rsidP="000A6D4F">
            <w:pPr>
              <w:jc w:val="both"/>
              <w:rPr>
                <w:sz w:val="22"/>
                <w:szCs w:val="22"/>
              </w:rPr>
            </w:pPr>
            <w:r w:rsidRPr="00F06301">
              <w:rPr>
                <w:sz w:val="22"/>
                <w:szCs w:val="22"/>
              </w:rPr>
              <w:t>25%</w:t>
            </w:r>
          </w:p>
          <w:p w14:paraId="261B33CA" w14:textId="77777777" w:rsidR="00701A90" w:rsidRPr="00F06301" w:rsidRDefault="00701A90" w:rsidP="000A6D4F">
            <w:pPr>
              <w:jc w:val="both"/>
              <w:rPr>
                <w:sz w:val="22"/>
                <w:szCs w:val="22"/>
              </w:rPr>
            </w:pPr>
          </w:p>
          <w:p w14:paraId="7C9E833A" w14:textId="77777777" w:rsidR="00701A90" w:rsidRPr="00D34969" w:rsidRDefault="00701A90" w:rsidP="000A6D4F">
            <w:pPr>
              <w:jc w:val="both"/>
              <w:rPr>
                <w:sz w:val="22"/>
                <w:szCs w:val="22"/>
              </w:rPr>
            </w:pPr>
            <w:r w:rsidRPr="00F06301">
              <w:rPr>
                <w:sz w:val="22"/>
                <w:szCs w:val="22"/>
              </w:rPr>
              <w:t>Var samazināt uz 10% vai 5%, atkarībā no būtiskuma un ietekmes.</w:t>
            </w:r>
          </w:p>
        </w:tc>
      </w:tr>
      <w:tr w:rsidR="00701A90" w:rsidRPr="009D07C7" w14:paraId="6E1F1620" w14:textId="77777777" w:rsidTr="002679E5">
        <w:tc>
          <w:tcPr>
            <w:tcW w:w="276" w:type="pct"/>
            <w:tcBorders>
              <w:bottom w:val="single" w:sz="4" w:space="0" w:color="auto"/>
            </w:tcBorders>
          </w:tcPr>
          <w:p w14:paraId="4630F9C3" w14:textId="77777777" w:rsidR="00701A90" w:rsidRPr="009D07C7" w:rsidRDefault="00701A90" w:rsidP="002679E5">
            <w:pPr>
              <w:numPr>
                <w:ilvl w:val="0"/>
                <w:numId w:val="1"/>
              </w:numPr>
              <w:rPr>
                <w:sz w:val="22"/>
                <w:szCs w:val="22"/>
              </w:rPr>
            </w:pPr>
          </w:p>
        </w:tc>
        <w:tc>
          <w:tcPr>
            <w:tcW w:w="1726" w:type="pct"/>
            <w:tcBorders>
              <w:bottom w:val="single" w:sz="4" w:space="0" w:color="auto"/>
            </w:tcBorders>
            <w:vAlign w:val="center"/>
          </w:tcPr>
          <w:p w14:paraId="5FEA93E4" w14:textId="77777777" w:rsidR="00701A90" w:rsidRPr="005D6AEA" w:rsidRDefault="00701A90" w:rsidP="000A6D4F">
            <w:pPr>
              <w:jc w:val="both"/>
              <w:rPr>
                <w:sz w:val="22"/>
                <w:szCs w:val="22"/>
              </w:rPr>
            </w:pPr>
            <w:r w:rsidRPr="005D6AEA">
              <w:rPr>
                <w:sz w:val="22"/>
                <w:szCs w:val="22"/>
              </w:rPr>
              <w:t>S</w:t>
            </w:r>
            <w:r>
              <w:rPr>
                <w:sz w:val="22"/>
                <w:szCs w:val="22"/>
              </w:rPr>
              <w:t xml:space="preserve">arunu </w:t>
            </w:r>
            <w:r w:rsidR="00E41FF3">
              <w:rPr>
                <w:sz w:val="22"/>
                <w:szCs w:val="22"/>
              </w:rPr>
              <w:t xml:space="preserve">procedūra </w:t>
            </w:r>
            <w:r>
              <w:rPr>
                <w:sz w:val="22"/>
                <w:szCs w:val="22"/>
              </w:rPr>
              <w:t xml:space="preserve">ar iepriekšēju  </w:t>
            </w:r>
            <w:r w:rsidR="002C3386" w:rsidRPr="005D6AEA">
              <w:rPr>
                <w:sz w:val="22"/>
                <w:szCs w:val="22"/>
              </w:rPr>
              <w:t>paziņojum</w:t>
            </w:r>
            <w:r w:rsidR="002C3386">
              <w:rPr>
                <w:sz w:val="22"/>
                <w:szCs w:val="22"/>
              </w:rPr>
              <w:t>u</w:t>
            </w:r>
            <w:r w:rsidR="002C3386" w:rsidRPr="005D6AEA">
              <w:rPr>
                <w:sz w:val="22"/>
                <w:szCs w:val="22"/>
              </w:rPr>
              <w:t xml:space="preserve"> </w:t>
            </w:r>
            <w:r w:rsidRPr="005D6AEA">
              <w:rPr>
                <w:sz w:val="22"/>
                <w:szCs w:val="22"/>
              </w:rPr>
              <w:t xml:space="preserve">par līgumu publicēšanu </w:t>
            </w:r>
            <w:r>
              <w:rPr>
                <w:sz w:val="22"/>
                <w:szCs w:val="22"/>
              </w:rPr>
              <w:t>ar būtiskām</w:t>
            </w:r>
            <w:r w:rsidRPr="005D6AEA">
              <w:rPr>
                <w:sz w:val="22"/>
                <w:szCs w:val="22"/>
              </w:rPr>
              <w:t xml:space="preserve"> izmaiņ</w:t>
            </w:r>
            <w:r>
              <w:rPr>
                <w:sz w:val="22"/>
                <w:szCs w:val="22"/>
              </w:rPr>
              <w:t xml:space="preserve">ām </w:t>
            </w:r>
            <w:r w:rsidRPr="005D6AEA">
              <w:rPr>
                <w:sz w:val="22"/>
                <w:szCs w:val="22"/>
              </w:rPr>
              <w:t>nosacījum</w:t>
            </w:r>
            <w:r>
              <w:rPr>
                <w:sz w:val="22"/>
                <w:szCs w:val="22"/>
              </w:rPr>
              <w:t>os</w:t>
            </w:r>
            <w:r w:rsidRPr="005D6AEA">
              <w:rPr>
                <w:sz w:val="22"/>
                <w:szCs w:val="22"/>
              </w:rPr>
              <w:t>, kas iz</w:t>
            </w:r>
            <w:r>
              <w:rPr>
                <w:sz w:val="22"/>
                <w:szCs w:val="22"/>
              </w:rPr>
              <w:t xml:space="preserve">klāstīti paziņojumā par līgumu </w:t>
            </w:r>
            <w:r w:rsidRPr="005D6AEA">
              <w:rPr>
                <w:sz w:val="22"/>
                <w:szCs w:val="22"/>
              </w:rPr>
              <w:t xml:space="preserve">vai </w:t>
            </w:r>
            <w:r>
              <w:rPr>
                <w:sz w:val="22"/>
                <w:szCs w:val="22"/>
              </w:rPr>
              <w:t>iepirkuma tehniskajā specifikācijā</w:t>
            </w:r>
          </w:p>
          <w:p w14:paraId="45387ACD" w14:textId="77777777" w:rsidR="00701A90" w:rsidRDefault="00701A90" w:rsidP="000A6D4F">
            <w:pPr>
              <w:jc w:val="both"/>
              <w:rPr>
                <w:i/>
                <w:sz w:val="22"/>
                <w:szCs w:val="22"/>
              </w:rPr>
            </w:pPr>
          </w:p>
          <w:p w14:paraId="22CBF6AC" w14:textId="2DBDC439" w:rsidR="00701A90" w:rsidRDefault="00701A90" w:rsidP="000A6D4F">
            <w:pPr>
              <w:jc w:val="both"/>
              <w:rPr>
                <w:i/>
                <w:sz w:val="22"/>
                <w:szCs w:val="22"/>
              </w:rPr>
            </w:pPr>
            <w:r w:rsidRPr="002214D9">
              <w:rPr>
                <w:i/>
                <w:sz w:val="22"/>
                <w:szCs w:val="22"/>
              </w:rPr>
              <w:t>Direktīvas Nr.</w:t>
            </w:r>
            <w:r w:rsidR="00D92EE6">
              <w:rPr>
                <w:i/>
                <w:sz w:val="22"/>
                <w:szCs w:val="22"/>
              </w:rPr>
              <w:t>2014/24/EK 26(4).pants, 29.pa</w:t>
            </w:r>
            <w:r w:rsidR="001F75E7">
              <w:rPr>
                <w:i/>
                <w:sz w:val="22"/>
                <w:szCs w:val="22"/>
              </w:rPr>
              <w:t>n</w:t>
            </w:r>
            <w:r w:rsidR="00D92EE6">
              <w:rPr>
                <w:i/>
                <w:sz w:val="22"/>
                <w:szCs w:val="22"/>
              </w:rPr>
              <w:t>ts</w:t>
            </w:r>
          </w:p>
          <w:p w14:paraId="05C2E30E" w14:textId="77777777" w:rsidR="00A2172D" w:rsidRDefault="00A2172D" w:rsidP="000A6D4F">
            <w:pPr>
              <w:jc w:val="both"/>
              <w:rPr>
                <w:i/>
                <w:sz w:val="22"/>
                <w:szCs w:val="22"/>
              </w:rPr>
            </w:pPr>
          </w:p>
          <w:p w14:paraId="208D36E7" w14:textId="77777777" w:rsidR="00A2172D" w:rsidRPr="00D34969" w:rsidRDefault="00A2172D" w:rsidP="00A2172D">
            <w:pPr>
              <w:jc w:val="both"/>
              <w:rPr>
                <w:sz w:val="22"/>
                <w:szCs w:val="22"/>
              </w:rPr>
            </w:pPr>
            <w:r w:rsidRPr="00A2172D">
              <w:rPr>
                <w:sz w:val="22"/>
                <w:szCs w:val="22"/>
              </w:rPr>
              <w:t xml:space="preserve">(EK 19.12.2013. vadlīniju  2.1.sadaļas </w:t>
            </w:r>
            <w:r>
              <w:rPr>
                <w:sz w:val="22"/>
                <w:szCs w:val="22"/>
              </w:rPr>
              <w:t>19</w:t>
            </w:r>
            <w:r w:rsidRPr="00A2172D">
              <w:rPr>
                <w:sz w:val="22"/>
                <w:szCs w:val="22"/>
              </w:rPr>
              <w:t>.punkts)</w:t>
            </w:r>
          </w:p>
        </w:tc>
        <w:tc>
          <w:tcPr>
            <w:tcW w:w="2082" w:type="pct"/>
            <w:gridSpan w:val="2"/>
            <w:tcBorders>
              <w:bottom w:val="single" w:sz="4" w:space="0" w:color="auto"/>
            </w:tcBorders>
          </w:tcPr>
          <w:p w14:paraId="647FF2D7" w14:textId="77777777" w:rsidR="00701A90" w:rsidRPr="00D34969" w:rsidRDefault="00E41FF3" w:rsidP="00E41FF3">
            <w:pPr>
              <w:jc w:val="both"/>
              <w:rPr>
                <w:sz w:val="22"/>
                <w:szCs w:val="22"/>
              </w:rPr>
            </w:pPr>
            <w:r>
              <w:rPr>
                <w:sz w:val="22"/>
                <w:szCs w:val="22"/>
              </w:rPr>
              <w:lastRenderedPageBreak/>
              <w:t>Sarunu procedūrā</w:t>
            </w:r>
            <w:r w:rsidR="00701A90" w:rsidRPr="00F86549">
              <w:rPr>
                <w:sz w:val="22"/>
                <w:szCs w:val="22"/>
              </w:rPr>
              <w:t xml:space="preserve">, iepriekš </w:t>
            </w:r>
            <w:r w:rsidR="00701A90" w:rsidRPr="00F86549">
              <w:rPr>
                <w:sz w:val="22"/>
                <w:szCs w:val="22"/>
              </w:rPr>
              <w:br/>
              <w:t xml:space="preserve">publicējot paziņojumu par līgumu, sākotnējie </w:t>
            </w:r>
            <w:r w:rsidR="00701A90">
              <w:rPr>
                <w:sz w:val="22"/>
                <w:szCs w:val="22"/>
              </w:rPr>
              <w:t xml:space="preserve">līguma </w:t>
            </w:r>
            <w:r w:rsidR="00701A90" w:rsidRPr="00F86549">
              <w:rPr>
                <w:sz w:val="22"/>
                <w:szCs w:val="22"/>
              </w:rPr>
              <w:t>nosacījumi</w:t>
            </w:r>
            <w:r w:rsidR="00701A90">
              <w:rPr>
                <w:sz w:val="22"/>
                <w:szCs w:val="22"/>
              </w:rPr>
              <w:t xml:space="preserve"> </w:t>
            </w:r>
            <w:r w:rsidR="00701A90" w:rsidRPr="00F86549">
              <w:rPr>
                <w:sz w:val="22"/>
                <w:szCs w:val="22"/>
              </w:rPr>
              <w:t xml:space="preserve">būtiski mainīti, tādējādi </w:t>
            </w:r>
            <w:r>
              <w:rPr>
                <w:sz w:val="22"/>
                <w:szCs w:val="22"/>
              </w:rPr>
              <w:t xml:space="preserve">radot </w:t>
            </w:r>
            <w:r w:rsidR="00701A90">
              <w:rPr>
                <w:sz w:val="22"/>
                <w:szCs w:val="22"/>
              </w:rPr>
              <w:t xml:space="preserve">nepieciešamību </w:t>
            </w:r>
            <w:r w:rsidR="00701A90" w:rsidRPr="00F86549">
              <w:rPr>
                <w:sz w:val="22"/>
                <w:szCs w:val="22"/>
              </w:rPr>
              <w:t>publicē</w:t>
            </w:r>
            <w:r w:rsidR="00701A90">
              <w:rPr>
                <w:sz w:val="22"/>
                <w:szCs w:val="22"/>
              </w:rPr>
              <w:t>t</w:t>
            </w:r>
            <w:r w:rsidR="00701A90" w:rsidRPr="00F86549">
              <w:rPr>
                <w:sz w:val="22"/>
                <w:szCs w:val="22"/>
              </w:rPr>
              <w:t xml:space="preserve"> jaunu </w:t>
            </w:r>
            <w:r>
              <w:rPr>
                <w:sz w:val="22"/>
                <w:szCs w:val="22"/>
              </w:rPr>
              <w:t xml:space="preserve">paziņojumu par </w:t>
            </w:r>
            <w:r w:rsidR="00701A90">
              <w:rPr>
                <w:sz w:val="22"/>
                <w:szCs w:val="22"/>
              </w:rPr>
              <w:t>iepirkumu</w:t>
            </w:r>
            <w:r w:rsidR="00701A90" w:rsidRPr="00F86549">
              <w:rPr>
                <w:sz w:val="22"/>
                <w:szCs w:val="22"/>
              </w:rPr>
              <w:t>.</w:t>
            </w:r>
          </w:p>
        </w:tc>
        <w:tc>
          <w:tcPr>
            <w:tcW w:w="916" w:type="pct"/>
            <w:tcBorders>
              <w:bottom w:val="single" w:sz="4" w:space="0" w:color="auto"/>
            </w:tcBorders>
            <w:vAlign w:val="center"/>
          </w:tcPr>
          <w:p w14:paraId="1B94016B" w14:textId="77777777" w:rsidR="00701A90" w:rsidRPr="00F06301" w:rsidRDefault="00701A90" w:rsidP="000A6D4F">
            <w:pPr>
              <w:jc w:val="both"/>
              <w:rPr>
                <w:sz w:val="22"/>
                <w:szCs w:val="22"/>
              </w:rPr>
            </w:pPr>
            <w:r w:rsidRPr="00F06301">
              <w:rPr>
                <w:sz w:val="22"/>
                <w:szCs w:val="22"/>
              </w:rPr>
              <w:t>25%</w:t>
            </w:r>
          </w:p>
          <w:p w14:paraId="18071B26" w14:textId="77777777" w:rsidR="00701A90" w:rsidRPr="00F06301" w:rsidRDefault="00701A90" w:rsidP="000A6D4F">
            <w:pPr>
              <w:jc w:val="both"/>
              <w:rPr>
                <w:sz w:val="22"/>
                <w:szCs w:val="22"/>
              </w:rPr>
            </w:pPr>
          </w:p>
          <w:p w14:paraId="63A939E6" w14:textId="77777777" w:rsidR="00701A90" w:rsidRPr="00D34969" w:rsidRDefault="00701A90" w:rsidP="000A6D4F">
            <w:pPr>
              <w:jc w:val="both"/>
              <w:rPr>
                <w:sz w:val="22"/>
                <w:szCs w:val="22"/>
              </w:rPr>
            </w:pPr>
            <w:r w:rsidRPr="00F06301">
              <w:rPr>
                <w:sz w:val="22"/>
                <w:szCs w:val="22"/>
              </w:rPr>
              <w:t>Var samazināt uz 10% vai 5%, atkarībā no</w:t>
            </w:r>
            <w:r>
              <w:rPr>
                <w:sz w:val="22"/>
                <w:szCs w:val="22"/>
              </w:rPr>
              <w:t xml:space="preserve"> neatbilstības būtiskuma.</w:t>
            </w:r>
          </w:p>
        </w:tc>
      </w:tr>
      <w:tr w:rsidR="00701A90" w:rsidRPr="009D07C7" w14:paraId="69EC0F75" w14:textId="77777777" w:rsidTr="002679E5">
        <w:tc>
          <w:tcPr>
            <w:tcW w:w="276" w:type="pct"/>
            <w:tcBorders>
              <w:bottom w:val="single" w:sz="4" w:space="0" w:color="auto"/>
            </w:tcBorders>
          </w:tcPr>
          <w:p w14:paraId="39A0C735" w14:textId="77777777" w:rsidR="00701A90" w:rsidRPr="009D07C7" w:rsidRDefault="00701A90" w:rsidP="002679E5">
            <w:pPr>
              <w:numPr>
                <w:ilvl w:val="0"/>
                <w:numId w:val="1"/>
              </w:numPr>
              <w:rPr>
                <w:sz w:val="22"/>
                <w:szCs w:val="22"/>
              </w:rPr>
            </w:pPr>
          </w:p>
        </w:tc>
        <w:tc>
          <w:tcPr>
            <w:tcW w:w="1726" w:type="pct"/>
            <w:tcBorders>
              <w:bottom w:val="single" w:sz="4" w:space="0" w:color="auto"/>
            </w:tcBorders>
            <w:vAlign w:val="center"/>
          </w:tcPr>
          <w:p w14:paraId="68070036" w14:textId="77777777" w:rsidR="00701A90" w:rsidRDefault="00701A90" w:rsidP="000A6D4F">
            <w:pPr>
              <w:jc w:val="both"/>
              <w:rPr>
                <w:sz w:val="22"/>
                <w:szCs w:val="22"/>
              </w:rPr>
            </w:pPr>
            <w:r w:rsidRPr="002F7467">
              <w:rPr>
                <w:sz w:val="22"/>
                <w:szCs w:val="22"/>
              </w:rPr>
              <w:t>Nepamatoti lēta piedāvājuma noraidīšana</w:t>
            </w:r>
          </w:p>
          <w:p w14:paraId="6FA00E27" w14:textId="77777777" w:rsidR="00701A90" w:rsidRDefault="00701A90" w:rsidP="000A6D4F">
            <w:pPr>
              <w:jc w:val="both"/>
              <w:rPr>
                <w:sz w:val="22"/>
                <w:szCs w:val="22"/>
              </w:rPr>
            </w:pPr>
          </w:p>
          <w:p w14:paraId="6A4BD5A4" w14:textId="58D73369" w:rsidR="00701A90" w:rsidRDefault="00701A90" w:rsidP="000A6D4F">
            <w:pPr>
              <w:jc w:val="both"/>
              <w:rPr>
                <w:i/>
                <w:sz w:val="22"/>
                <w:szCs w:val="22"/>
              </w:rPr>
            </w:pPr>
            <w:r w:rsidRPr="002214D9">
              <w:rPr>
                <w:i/>
                <w:sz w:val="22"/>
                <w:szCs w:val="22"/>
              </w:rPr>
              <w:t>Direktīvas Nr.</w:t>
            </w:r>
            <w:r w:rsidR="00951384">
              <w:rPr>
                <w:i/>
                <w:sz w:val="22"/>
                <w:szCs w:val="22"/>
              </w:rPr>
              <w:t>2014/24/EK 69.pa</w:t>
            </w:r>
            <w:r w:rsidR="002F0815">
              <w:rPr>
                <w:i/>
                <w:sz w:val="22"/>
                <w:szCs w:val="22"/>
              </w:rPr>
              <w:t>n</w:t>
            </w:r>
            <w:r w:rsidR="00951384">
              <w:rPr>
                <w:i/>
                <w:sz w:val="22"/>
                <w:szCs w:val="22"/>
              </w:rPr>
              <w:t>ts</w:t>
            </w:r>
          </w:p>
          <w:p w14:paraId="7A4FEEEF" w14:textId="77777777" w:rsidR="00701A90" w:rsidRDefault="00701A90" w:rsidP="000A6D4F">
            <w:pPr>
              <w:jc w:val="both"/>
              <w:rPr>
                <w:i/>
                <w:sz w:val="22"/>
                <w:szCs w:val="22"/>
              </w:rPr>
            </w:pPr>
            <w:r w:rsidRPr="002214D9">
              <w:rPr>
                <w:i/>
                <w:sz w:val="22"/>
                <w:szCs w:val="22"/>
              </w:rPr>
              <w:t>Direktīvas Nr.2004/17/EK</w:t>
            </w:r>
            <w:r>
              <w:rPr>
                <w:i/>
                <w:sz w:val="22"/>
                <w:szCs w:val="22"/>
              </w:rPr>
              <w:t xml:space="preserve"> 57.pants</w:t>
            </w:r>
          </w:p>
          <w:p w14:paraId="678E386A" w14:textId="77777777" w:rsidR="00A2172D" w:rsidRDefault="00A2172D" w:rsidP="000A6D4F">
            <w:pPr>
              <w:jc w:val="both"/>
              <w:rPr>
                <w:i/>
                <w:sz w:val="22"/>
                <w:szCs w:val="22"/>
              </w:rPr>
            </w:pPr>
          </w:p>
          <w:p w14:paraId="5617226F" w14:textId="77777777" w:rsidR="00A2172D" w:rsidRPr="00D34969" w:rsidRDefault="00A2172D" w:rsidP="000A6D4F">
            <w:pPr>
              <w:jc w:val="both"/>
              <w:rPr>
                <w:sz w:val="22"/>
                <w:szCs w:val="22"/>
              </w:rPr>
            </w:pPr>
            <w:r w:rsidRPr="00A2172D">
              <w:rPr>
                <w:sz w:val="22"/>
                <w:szCs w:val="22"/>
              </w:rPr>
              <w:t>(EK 19.12.2013. vadlīniju  2.1.sadaļas 2</w:t>
            </w:r>
            <w:r>
              <w:rPr>
                <w:sz w:val="22"/>
                <w:szCs w:val="22"/>
              </w:rPr>
              <w:t>0</w:t>
            </w:r>
            <w:r w:rsidRPr="00A2172D">
              <w:rPr>
                <w:sz w:val="22"/>
                <w:szCs w:val="22"/>
              </w:rPr>
              <w:t>.punkts)</w:t>
            </w:r>
          </w:p>
        </w:tc>
        <w:tc>
          <w:tcPr>
            <w:tcW w:w="2082" w:type="pct"/>
            <w:gridSpan w:val="2"/>
            <w:tcBorders>
              <w:bottom w:val="single" w:sz="4" w:space="0" w:color="auto"/>
            </w:tcBorders>
          </w:tcPr>
          <w:p w14:paraId="5090D3B1" w14:textId="77777777" w:rsidR="00701A90" w:rsidRPr="00D34969" w:rsidRDefault="00E41FF3" w:rsidP="00E41FF3">
            <w:pPr>
              <w:jc w:val="both"/>
              <w:rPr>
                <w:sz w:val="22"/>
                <w:szCs w:val="22"/>
              </w:rPr>
            </w:pPr>
            <w:r w:rsidRPr="0012473E">
              <w:rPr>
                <w:sz w:val="22"/>
                <w:szCs w:val="22"/>
              </w:rPr>
              <w:t>Piedāvājum</w:t>
            </w:r>
            <w:r>
              <w:rPr>
                <w:sz w:val="22"/>
                <w:szCs w:val="22"/>
              </w:rPr>
              <w:t>s</w:t>
            </w:r>
            <w:r w:rsidRPr="0012473E">
              <w:rPr>
                <w:sz w:val="22"/>
                <w:szCs w:val="22"/>
              </w:rPr>
              <w:t xml:space="preserve"> </w:t>
            </w:r>
            <w:r w:rsidR="00701A90" w:rsidRPr="0012473E">
              <w:rPr>
                <w:sz w:val="22"/>
                <w:szCs w:val="22"/>
              </w:rPr>
              <w:t>šķiet</w:t>
            </w:r>
            <w:r>
              <w:rPr>
                <w:sz w:val="22"/>
                <w:szCs w:val="22"/>
              </w:rPr>
              <w:t>ami</w:t>
            </w:r>
            <w:r w:rsidR="00701A90" w:rsidRPr="0012473E">
              <w:rPr>
                <w:sz w:val="22"/>
                <w:szCs w:val="22"/>
              </w:rPr>
              <w:t xml:space="preserve"> nesamērīgi lēt</w:t>
            </w:r>
            <w:r>
              <w:rPr>
                <w:sz w:val="22"/>
                <w:szCs w:val="22"/>
              </w:rPr>
              <w:t>s</w:t>
            </w:r>
            <w:r w:rsidR="00701A90" w:rsidRPr="0012473E">
              <w:rPr>
                <w:sz w:val="22"/>
                <w:szCs w:val="22"/>
              </w:rPr>
              <w:t xml:space="preserve">, samērojot ar </w:t>
            </w:r>
            <w:r w:rsidR="00701A90" w:rsidRPr="0012473E">
              <w:rPr>
                <w:sz w:val="22"/>
                <w:szCs w:val="22"/>
              </w:rPr>
              <w:br/>
            </w:r>
            <w:r>
              <w:rPr>
                <w:sz w:val="22"/>
                <w:szCs w:val="22"/>
              </w:rPr>
              <w:t>līguma priekšmetu</w:t>
            </w:r>
            <w:r w:rsidR="00701A90">
              <w:rPr>
                <w:sz w:val="22"/>
                <w:szCs w:val="22"/>
              </w:rPr>
              <w:t xml:space="preserve"> </w:t>
            </w:r>
            <w:r w:rsidR="00701A90" w:rsidRPr="0012473E">
              <w:rPr>
                <w:sz w:val="22"/>
                <w:szCs w:val="22"/>
              </w:rPr>
              <w:t xml:space="preserve">pirms šā piedāvājuma noraidīšanas, nav rakstiski </w:t>
            </w:r>
            <w:r w:rsidRPr="0012473E">
              <w:rPr>
                <w:sz w:val="22"/>
                <w:szCs w:val="22"/>
              </w:rPr>
              <w:t>lū</w:t>
            </w:r>
            <w:r>
              <w:rPr>
                <w:sz w:val="22"/>
                <w:szCs w:val="22"/>
              </w:rPr>
              <w:t>dzis pretendenta skaidrojumu par piedāvāto cenu.</w:t>
            </w:r>
          </w:p>
        </w:tc>
        <w:tc>
          <w:tcPr>
            <w:tcW w:w="916" w:type="pct"/>
            <w:tcBorders>
              <w:bottom w:val="single" w:sz="4" w:space="0" w:color="auto"/>
            </w:tcBorders>
            <w:vAlign w:val="center"/>
          </w:tcPr>
          <w:p w14:paraId="5F15FF32" w14:textId="77777777" w:rsidR="00701A90" w:rsidRPr="00D34969" w:rsidRDefault="00701A90" w:rsidP="000A6D4F">
            <w:pPr>
              <w:jc w:val="both"/>
              <w:rPr>
                <w:sz w:val="22"/>
                <w:szCs w:val="22"/>
              </w:rPr>
            </w:pPr>
            <w:r>
              <w:rPr>
                <w:sz w:val="22"/>
                <w:szCs w:val="22"/>
              </w:rPr>
              <w:t>25%</w:t>
            </w:r>
          </w:p>
        </w:tc>
      </w:tr>
      <w:tr w:rsidR="00701A90" w:rsidRPr="009D07C7" w14:paraId="54067C14" w14:textId="77777777" w:rsidTr="002679E5">
        <w:tc>
          <w:tcPr>
            <w:tcW w:w="276" w:type="pct"/>
            <w:tcBorders>
              <w:bottom w:val="single" w:sz="4" w:space="0" w:color="auto"/>
            </w:tcBorders>
          </w:tcPr>
          <w:p w14:paraId="2019E3BB" w14:textId="77777777" w:rsidR="00701A90" w:rsidRPr="009D07C7" w:rsidRDefault="00701A90" w:rsidP="002679E5">
            <w:pPr>
              <w:numPr>
                <w:ilvl w:val="0"/>
                <w:numId w:val="1"/>
              </w:numPr>
              <w:rPr>
                <w:sz w:val="22"/>
                <w:szCs w:val="22"/>
              </w:rPr>
            </w:pPr>
          </w:p>
        </w:tc>
        <w:tc>
          <w:tcPr>
            <w:tcW w:w="1726" w:type="pct"/>
            <w:tcBorders>
              <w:bottom w:val="single" w:sz="4" w:space="0" w:color="auto"/>
            </w:tcBorders>
            <w:vAlign w:val="center"/>
          </w:tcPr>
          <w:p w14:paraId="1C4249D0" w14:textId="77777777" w:rsidR="00701A90" w:rsidRDefault="00701A90" w:rsidP="000A6D4F">
            <w:pPr>
              <w:jc w:val="both"/>
              <w:rPr>
                <w:sz w:val="22"/>
                <w:szCs w:val="22"/>
              </w:rPr>
            </w:pPr>
            <w:r>
              <w:rPr>
                <w:sz w:val="22"/>
                <w:szCs w:val="22"/>
              </w:rPr>
              <w:t>Interešu konflikts</w:t>
            </w:r>
            <w:r w:rsidR="00D84A37">
              <w:rPr>
                <w:rStyle w:val="FootnoteReference"/>
                <w:sz w:val="22"/>
                <w:szCs w:val="22"/>
              </w:rPr>
              <w:footnoteReference w:id="15"/>
            </w:r>
          </w:p>
          <w:p w14:paraId="361671FA" w14:textId="77777777" w:rsidR="00701A90" w:rsidRDefault="00701A90" w:rsidP="000A6D4F">
            <w:pPr>
              <w:jc w:val="both"/>
              <w:rPr>
                <w:sz w:val="22"/>
                <w:szCs w:val="22"/>
              </w:rPr>
            </w:pPr>
          </w:p>
          <w:p w14:paraId="161F4D41" w14:textId="77777777" w:rsidR="00701A90" w:rsidRPr="002214D9" w:rsidRDefault="00701A90" w:rsidP="000A6D4F">
            <w:pPr>
              <w:jc w:val="both"/>
              <w:rPr>
                <w:i/>
                <w:sz w:val="22"/>
                <w:szCs w:val="22"/>
              </w:rPr>
            </w:pPr>
            <w:r w:rsidRPr="002214D9">
              <w:rPr>
                <w:i/>
                <w:sz w:val="22"/>
                <w:szCs w:val="22"/>
              </w:rPr>
              <w:t>Direktīvas Nr.</w:t>
            </w:r>
            <w:r w:rsidR="00951384">
              <w:rPr>
                <w:i/>
                <w:sz w:val="22"/>
                <w:szCs w:val="22"/>
              </w:rPr>
              <w:t>2014/24/EK 18(1).pants</w:t>
            </w:r>
          </w:p>
          <w:p w14:paraId="49E36A63" w14:textId="77777777" w:rsidR="00701A90" w:rsidRDefault="00701A90" w:rsidP="000A6D4F">
            <w:pPr>
              <w:jc w:val="both"/>
              <w:rPr>
                <w:i/>
                <w:sz w:val="22"/>
                <w:szCs w:val="22"/>
              </w:rPr>
            </w:pPr>
            <w:r w:rsidRPr="002214D9">
              <w:rPr>
                <w:i/>
                <w:sz w:val="22"/>
                <w:szCs w:val="22"/>
              </w:rPr>
              <w:t>Direktīvas Nr.2004/17/EK 10.pants</w:t>
            </w:r>
          </w:p>
          <w:p w14:paraId="34754583" w14:textId="3F666D6F" w:rsidR="00A7209C" w:rsidRPr="002214D9" w:rsidRDefault="00361A9B" w:rsidP="000A6D4F">
            <w:pPr>
              <w:jc w:val="both"/>
              <w:rPr>
                <w:i/>
                <w:sz w:val="22"/>
                <w:szCs w:val="22"/>
              </w:rPr>
            </w:pPr>
            <w:r>
              <w:rPr>
                <w:i/>
                <w:sz w:val="22"/>
                <w:szCs w:val="22"/>
              </w:rPr>
              <w:t>Regulas Nr.</w:t>
            </w:r>
            <w:r w:rsidR="00A7209C">
              <w:rPr>
                <w:i/>
                <w:sz w:val="22"/>
                <w:szCs w:val="22"/>
              </w:rPr>
              <w:t xml:space="preserve">966/2012 </w:t>
            </w:r>
            <w:r w:rsidR="00A7209C" w:rsidRPr="00A7209C">
              <w:rPr>
                <w:i/>
                <w:sz w:val="22"/>
                <w:szCs w:val="22"/>
              </w:rPr>
              <w:t>57.pants</w:t>
            </w:r>
          </w:p>
          <w:p w14:paraId="11F87B80" w14:textId="77777777" w:rsidR="00701A90" w:rsidRDefault="00701A90" w:rsidP="000A6D4F">
            <w:pPr>
              <w:jc w:val="both"/>
              <w:rPr>
                <w:sz w:val="22"/>
                <w:szCs w:val="22"/>
              </w:rPr>
            </w:pPr>
          </w:p>
          <w:p w14:paraId="04A686DD" w14:textId="77777777" w:rsidR="00A2172D" w:rsidRPr="00D34969" w:rsidRDefault="00A2172D" w:rsidP="00A2172D">
            <w:pPr>
              <w:jc w:val="both"/>
              <w:rPr>
                <w:sz w:val="22"/>
                <w:szCs w:val="22"/>
              </w:rPr>
            </w:pPr>
            <w:r w:rsidRPr="00A2172D">
              <w:rPr>
                <w:sz w:val="22"/>
                <w:szCs w:val="22"/>
              </w:rPr>
              <w:t xml:space="preserve">(EK 19.12.2013. vadlīniju  2.1.sadaļas </w:t>
            </w:r>
            <w:r>
              <w:rPr>
                <w:sz w:val="22"/>
                <w:szCs w:val="22"/>
              </w:rPr>
              <w:t>21</w:t>
            </w:r>
            <w:r w:rsidRPr="00A2172D">
              <w:rPr>
                <w:sz w:val="22"/>
                <w:szCs w:val="22"/>
              </w:rPr>
              <w:t>.punkts)</w:t>
            </w:r>
          </w:p>
        </w:tc>
        <w:tc>
          <w:tcPr>
            <w:tcW w:w="2082" w:type="pct"/>
            <w:gridSpan w:val="2"/>
            <w:tcBorders>
              <w:bottom w:val="single" w:sz="4" w:space="0" w:color="auto"/>
            </w:tcBorders>
            <w:vAlign w:val="center"/>
          </w:tcPr>
          <w:p w14:paraId="039089F5" w14:textId="77777777" w:rsidR="00701A90" w:rsidRDefault="00701A90" w:rsidP="00BA1BBD">
            <w:pPr>
              <w:jc w:val="both"/>
              <w:rPr>
                <w:sz w:val="22"/>
                <w:szCs w:val="22"/>
              </w:rPr>
            </w:pPr>
            <w:r w:rsidRPr="00F05574">
              <w:rPr>
                <w:sz w:val="22"/>
                <w:szCs w:val="22"/>
              </w:rPr>
              <w:t xml:space="preserve">Ja interešu </w:t>
            </w:r>
            <w:r w:rsidR="00286F0A" w:rsidRPr="00F05574">
              <w:rPr>
                <w:sz w:val="22"/>
                <w:szCs w:val="22"/>
              </w:rPr>
              <w:t>konflikt</w:t>
            </w:r>
            <w:r w:rsidR="00E41FF3">
              <w:rPr>
                <w:sz w:val="22"/>
                <w:szCs w:val="22"/>
              </w:rPr>
              <w:t>a esamību</w:t>
            </w:r>
            <w:r w:rsidR="00286F0A" w:rsidRPr="00F05574">
              <w:rPr>
                <w:sz w:val="22"/>
                <w:szCs w:val="22"/>
              </w:rPr>
              <w:t xml:space="preserve"> </w:t>
            </w:r>
            <w:r w:rsidRPr="00F05574">
              <w:rPr>
                <w:sz w:val="22"/>
                <w:szCs w:val="22"/>
              </w:rPr>
              <w:t xml:space="preserve">ir </w:t>
            </w:r>
            <w:r w:rsidR="00E41FF3">
              <w:rPr>
                <w:sz w:val="22"/>
                <w:szCs w:val="22"/>
              </w:rPr>
              <w:t>konstatējusi</w:t>
            </w:r>
            <w:r w:rsidR="00E41FF3" w:rsidRPr="00F05574">
              <w:rPr>
                <w:sz w:val="22"/>
                <w:szCs w:val="22"/>
              </w:rPr>
              <w:t xml:space="preserve"> </w:t>
            </w:r>
            <w:r w:rsidRPr="00F05574">
              <w:rPr>
                <w:sz w:val="22"/>
                <w:szCs w:val="22"/>
              </w:rPr>
              <w:br/>
              <w:t>kompetenta tiesu vai administratīv</w:t>
            </w:r>
            <w:r w:rsidR="00E41FF3">
              <w:rPr>
                <w:sz w:val="22"/>
                <w:szCs w:val="22"/>
              </w:rPr>
              <w:t>ā</w:t>
            </w:r>
            <w:r w:rsidRPr="00F05574">
              <w:rPr>
                <w:sz w:val="22"/>
                <w:szCs w:val="22"/>
              </w:rPr>
              <w:t xml:space="preserve"> iestāde, </w:t>
            </w:r>
            <w:r w:rsidRPr="00BA1BBD">
              <w:rPr>
                <w:sz w:val="22"/>
                <w:szCs w:val="22"/>
              </w:rPr>
              <w:t xml:space="preserve">vai </w:t>
            </w:r>
            <w:r w:rsidR="00BA1BBD" w:rsidRPr="00BA1BBD">
              <w:rPr>
                <w:sz w:val="22"/>
                <w:szCs w:val="22"/>
              </w:rPr>
              <w:t>par to informē finansējuma saņēmējs attiecībā uz viņam jau izmaksāto finansējumu no EK vai līgumslēdzēja puses.</w:t>
            </w:r>
            <w:r w:rsidR="00BA1BBD">
              <w:rPr>
                <w:sz w:val="22"/>
                <w:szCs w:val="22"/>
              </w:rPr>
              <w:t xml:space="preserve"> </w:t>
            </w:r>
            <w:r w:rsidR="00BA1BBD" w:rsidRPr="00D34969">
              <w:rPr>
                <w:sz w:val="22"/>
                <w:szCs w:val="22"/>
              </w:rPr>
              <w:t xml:space="preserve"> </w:t>
            </w:r>
          </w:p>
          <w:p w14:paraId="5B091BEC" w14:textId="77777777" w:rsidR="00623CCB" w:rsidRDefault="00623CCB" w:rsidP="00BA1BBD">
            <w:pPr>
              <w:jc w:val="both"/>
              <w:rPr>
                <w:sz w:val="22"/>
                <w:szCs w:val="22"/>
              </w:rPr>
            </w:pPr>
          </w:p>
          <w:p w14:paraId="0781151D" w14:textId="77777777" w:rsidR="00F27BEF" w:rsidRPr="00D34969" w:rsidRDefault="00F27BEF" w:rsidP="00F27BEF">
            <w:pPr>
              <w:jc w:val="both"/>
              <w:rPr>
                <w:sz w:val="22"/>
                <w:szCs w:val="22"/>
              </w:rPr>
            </w:pPr>
            <w:r>
              <w:rPr>
                <w:sz w:val="22"/>
                <w:szCs w:val="22"/>
              </w:rPr>
              <w:t>Arī gadījumos, kad nevar noteikt interešu konfliktu, bet pastāv</w:t>
            </w:r>
            <w:r>
              <w:t xml:space="preserve"> </w:t>
            </w:r>
            <w:r>
              <w:rPr>
                <w:sz w:val="22"/>
                <w:szCs w:val="22"/>
              </w:rPr>
              <w:t>interešu konflikta risks (</w:t>
            </w:r>
            <w:r w:rsidRPr="00F27BEF">
              <w:rPr>
                <w:sz w:val="22"/>
                <w:szCs w:val="22"/>
              </w:rPr>
              <w:t>iespējams interešu konflikts</w:t>
            </w:r>
            <w:r>
              <w:rPr>
                <w:sz w:val="22"/>
                <w:szCs w:val="22"/>
              </w:rPr>
              <w:t>), kas varētu ietekmēt ES</w:t>
            </w:r>
            <w:r w:rsidRPr="00F27BEF">
              <w:rPr>
                <w:sz w:val="22"/>
                <w:szCs w:val="22"/>
              </w:rPr>
              <w:t xml:space="preserve"> </w:t>
            </w:r>
            <w:r>
              <w:rPr>
                <w:sz w:val="22"/>
                <w:szCs w:val="22"/>
              </w:rPr>
              <w:t>budžetu.</w:t>
            </w:r>
          </w:p>
        </w:tc>
        <w:tc>
          <w:tcPr>
            <w:tcW w:w="916" w:type="pct"/>
            <w:tcBorders>
              <w:bottom w:val="single" w:sz="4" w:space="0" w:color="auto"/>
            </w:tcBorders>
            <w:vAlign w:val="center"/>
          </w:tcPr>
          <w:p w14:paraId="7E13ADFB" w14:textId="77777777" w:rsidR="00701A90" w:rsidRPr="00D34969" w:rsidRDefault="00701A90" w:rsidP="000A6D4F">
            <w:pPr>
              <w:jc w:val="both"/>
              <w:rPr>
                <w:sz w:val="22"/>
                <w:szCs w:val="22"/>
              </w:rPr>
            </w:pPr>
            <w:r>
              <w:rPr>
                <w:sz w:val="22"/>
                <w:szCs w:val="22"/>
              </w:rPr>
              <w:t>100%</w:t>
            </w:r>
          </w:p>
        </w:tc>
      </w:tr>
      <w:tr w:rsidR="002679E5" w:rsidRPr="009D07C7" w14:paraId="1415E72B" w14:textId="77777777" w:rsidTr="00102ACE">
        <w:tc>
          <w:tcPr>
            <w:tcW w:w="5000" w:type="pct"/>
            <w:gridSpan w:val="5"/>
            <w:tcBorders>
              <w:bottom w:val="single" w:sz="4" w:space="0" w:color="auto"/>
            </w:tcBorders>
            <w:shd w:val="clear" w:color="auto" w:fill="D9D9D9"/>
          </w:tcPr>
          <w:p w14:paraId="17D2FBE3" w14:textId="77777777" w:rsidR="002679E5" w:rsidRPr="002679E5" w:rsidRDefault="002679E5" w:rsidP="00557240">
            <w:pPr>
              <w:jc w:val="both"/>
              <w:rPr>
                <w:sz w:val="22"/>
                <w:szCs w:val="22"/>
                <w:highlight w:val="yellow"/>
              </w:rPr>
            </w:pPr>
            <w:r w:rsidRPr="00D34969">
              <w:rPr>
                <w:b/>
                <w:sz w:val="22"/>
                <w:szCs w:val="22"/>
              </w:rPr>
              <w:t>Līguma ieviešana/ izpilde</w:t>
            </w:r>
          </w:p>
        </w:tc>
      </w:tr>
      <w:tr w:rsidR="000A6D4F" w:rsidRPr="009D07C7" w14:paraId="1B4EC70B" w14:textId="77777777" w:rsidTr="002679E5">
        <w:tc>
          <w:tcPr>
            <w:tcW w:w="276" w:type="pct"/>
            <w:tcBorders>
              <w:bottom w:val="single" w:sz="4" w:space="0" w:color="auto"/>
            </w:tcBorders>
          </w:tcPr>
          <w:p w14:paraId="27521CD6" w14:textId="77777777" w:rsidR="000A6D4F" w:rsidRPr="009D07C7" w:rsidRDefault="000A6D4F" w:rsidP="002679E5">
            <w:pPr>
              <w:numPr>
                <w:ilvl w:val="0"/>
                <w:numId w:val="1"/>
              </w:numPr>
              <w:rPr>
                <w:sz w:val="22"/>
                <w:szCs w:val="22"/>
              </w:rPr>
            </w:pPr>
          </w:p>
        </w:tc>
        <w:tc>
          <w:tcPr>
            <w:tcW w:w="1726" w:type="pct"/>
            <w:tcBorders>
              <w:bottom w:val="single" w:sz="4" w:space="0" w:color="auto"/>
            </w:tcBorders>
            <w:vAlign w:val="center"/>
          </w:tcPr>
          <w:p w14:paraId="14290AC5" w14:textId="77777777" w:rsidR="000A6D4F" w:rsidRDefault="000A6D4F" w:rsidP="000A6D4F">
            <w:pPr>
              <w:jc w:val="both"/>
              <w:rPr>
                <w:sz w:val="22"/>
                <w:szCs w:val="22"/>
              </w:rPr>
            </w:pPr>
            <w:r>
              <w:rPr>
                <w:sz w:val="22"/>
                <w:szCs w:val="22"/>
              </w:rPr>
              <w:t>Būtiski grozījumi līguma elementos, kas noteikti paziņojumā par līgumu vai tehniskajā specifikācijā</w:t>
            </w:r>
          </w:p>
          <w:p w14:paraId="058EF6EB" w14:textId="77777777" w:rsidR="000A6D4F" w:rsidRDefault="000A6D4F" w:rsidP="000A6D4F">
            <w:pPr>
              <w:jc w:val="both"/>
              <w:rPr>
                <w:sz w:val="22"/>
                <w:szCs w:val="22"/>
              </w:rPr>
            </w:pPr>
          </w:p>
          <w:p w14:paraId="58A3568F" w14:textId="77777777" w:rsidR="000A6D4F" w:rsidRPr="00596442" w:rsidRDefault="000A6D4F" w:rsidP="000A6D4F">
            <w:pPr>
              <w:jc w:val="both"/>
              <w:rPr>
                <w:i/>
                <w:sz w:val="22"/>
                <w:szCs w:val="22"/>
              </w:rPr>
            </w:pPr>
            <w:r w:rsidRPr="00596442">
              <w:rPr>
                <w:i/>
                <w:sz w:val="22"/>
                <w:szCs w:val="22"/>
              </w:rPr>
              <w:t>Direktīvas Nr.</w:t>
            </w:r>
            <w:r w:rsidR="00951384">
              <w:rPr>
                <w:i/>
                <w:sz w:val="22"/>
                <w:szCs w:val="22"/>
              </w:rPr>
              <w:t>2014/24/EK 18(1).pants</w:t>
            </w:r>
          </w:p>
          <w:p w14:paraId="0D3C86D7" w14:textId="77777777" w:rsidR="000A6D4F" w:rsidRDefault="000A6D4F" w:rsidP="000A6D4F">
            <w:pPr>
              <w:jc w:val="both"/>
              <w:rPr>
                <w:i/>
                <w:sz w:val="22"/>
                <w:szCs w:val="22"/>
              </w:rPr>
            </w:pPr>
            <w:r w:rsidRPr="00596442">
              <w:rPr>
                <w:i/>
                <w:sz w:val="22"/>
                <w:szCs w:val="22"/>
              </w:rPr>
              <w:t>Direktīvas Nr.2004/17/EK 10.pants</w:t>
            </w:r>
          </w:p>
          <w:p w14:paraId="660DA63E" w14:textId="77777777" w:rsidR="000A6D4F" w:rsidRPr="00596442" w:rsidRDefault="000A6D4F" w:rsidP="000A6D4F">
            <w:pPr>
              <w:jc w:val="both"/>
              <w:rPr>
                <w:i/>
                <w:sz w:val="22"/>
                <w:szCs w:val="22"/>
              </w:rPr>
            </w:pPr>
            <w:r>
              <w:rPr>
                <w:i/>
                <w:sz w:val="22"/>
                <w:szCs w:val="22"/>
              </w:rPr>
              <w:t>EK 19.12.2013. vadlīnijās norādītie tiesu prakses gadījumi</w:t>
            </w:r>
          </w:p>
          <w:p w14:paraId="34AF84F2" w14:textId="77777777" w:rsidR="000A6D4F" w:rsidRPr="00D34969" w:rsidRDefault="00A2172D" w:rsidP="000A6D4F">
            <w:pPr>
              <w:jc w:val="both"/>
              <w:rPr>
                <w:sz w:val="22"/>
                <w:szCs w:val="22"/>
              </w:rPr>
            </w:pPr>
            <w:r w:rsidRPr="00A2172D">
              <w:rPr>
                <w:sz w:val="22"/>
                <w:szCs w:val="22"/>
              </w:rPr>
              <w:t>(EK 19.12.2013. vadlīniju  2.1.sadaļas 2</w:t>
            </w:r>
            <w:r>
              <w:rPr>
                <w:sz w:val="22"/>
                <w:szCs w:val="22"/>
              </w:rPr>
              <w:t>2</w:t>
            </w:r>
            <w:r w:rsidRPr="00A2172D">
              <w:rPr>
                <w:sz w:val="22"/>
                <w:szCs w:val="22"/>
              </w:rPr>
              <w:t>.punkts)</w:t>
            </w:r>
          </w:p>
        </w:tc>
        <w:tc>
          <w:tcPr>
            <w:tcW w:w="2082" w:type="pct"/>
            <w:gridSpan w:val="2"/>
            <w:tcBorders>
              <w:bottom w:val="single" w:sz="4" w:space="0" w:color="auto"/>
            </w:tcBorders>
          </w:tcPr>
          <w:p w14:paraId="4C8C0B62" w14:textId="77777777" w:rsidR="000A6D4F" w:rsidRPr="00D34969" w:rsidRDefault="000A6D4F" w:rsidP="0059703C">
            <w:pPr>
              <w:jc w:val="both"/>
              <w:rPr>
                <w:sz w:val="22"/>
                <w:szCs w:val="22"/>
              </w:rPr>
            </w:pPr>
            <w:r w:rsidRPr="009C63E2">
              <w:rPr>
                <w:sz w:val="22"/>
                <w:szCs w:val="22"/>
              </w:rPr>
              <w:t xml:space="preserve">Būtiskie elementi </w:t>
            </w:r>
            <w:r>
              <w:rPr>
                <w:sz w:val="22"/>
                <w:szCs w:val="22"/>
              </w:rPr>
              <w:t>līgumtiesību</w:t>
            </w:r>
            <w:r w:rsidRPr="009C63E2">
              <w:rPr>
                <w:sz w:val="22"/>
                <w:szCs w:val="22"/>
              </w:rPr>
              <w:t xml:space="preserve"> piešķiršan</w:t>
            </w:r>
            <w:r>
              <w:rPr>
                <w:sz w:val="22"/>
                <w:szCs w:val="22"/>
              </w:rPr>
              <w:t>ai</w:t>
            </w:r>
            <w:r w:rsidRPr="009C63E2">
              <w:rPr>
                <w:sz w:val="22"/>
                <w:szCs w:val="22"/>
              </w:rPr>
              <w:t xml:space="preserve"> </w:t>
            </w:r>
            <w:r w:rsidRPr="009C63E2">
              <w:rPr>
                <w:sz w:val="22"/>
                <w:szCs w:val="22"/>
              </w:rPr>
              <w:br/>
              <w:t>ietver, bet neaprobežojas ar</w:t>
            </w:r>
            <w:r>
              <w:rPr>
                <w:sz w:val="22"/>
                <w:szCs w:val="22"/>
              </w:rPr>
              <w:t>,</w:t>
            </w:r>
            <w:r w:rsidRPr="009C63E2">
              <w:rPr>
                <w:sz w:val="22"/>
                <w:szCs w:val="22"/>
              </w:rPr>
              <w:t xml:space="preserve"> </w:t>
            </w:r>
            <w:r w:rsidRPr="009C63E2">
              <w:rPr>
                <w:sz w:val="22"/>
                <w:szCs w:val="22"/>
              </w:rPr>
              <w:br/>
            </w:r>
            <w:r w:rsidR="0059703C" w:rsidRPr="009C63E2">
              <w:rPr>
                <w:sz w:val="22"/>
                <w:szCs w:val="22"/>
              </w:rPr>
              <w:t>cen</w:t>
            </w:r>
            <w:r w:rsidR="0059703C">
              <w:rPr>
                <w:sz w:val="22"/>
                <w:szCs w:val="22"/>
              </w:rPr>
              <w:t>u</w:t>
            </w:r>
            <w:r w:rsidRPr="009C63E2">
              <w:rPr>
                <w:sz w:val="22"/>
                <w:szCs w:val="22"/>
              </w:rPr>
              <w:t xml:space="preserve">, darbu </w:t>
            </w:r>
            <w:r w:rsidR="0059703C" w:rsidRPr="009C63E2">
              <w:rPr>
                <w:sz w:val="22"/>
                <w:szCs w:val="22"/>
              </w:rPr>
              <w:t>veid</w:t>
            </w:r>
            <w:r w:rsidR="0059703C">
              <w:rPr>
                <w:sz w:val="22"/>
                <w:szCs w:val="22"/>
              </w:rPr>
              <w:t>u</w:t>
            </w:r>
            <w:r w:rsidRPr="009C63E2">
              <w:rPr>
                <w:sz w:val="22"/>
                <w:szCs w:val="22"/>
              </w:rPr>
              <w:t xml:space="preserve">, </w:t>
            </w:r>
            <w:r w:rsidRPr="009C63E2">
              <w:rPr>
                <w:sz w:val="22"/>
                <w:szCs w:val="22"/>
              </w:rPr>
              <w:br/>
              <w:t xml:space="preserve">pabeigšanas </w:t>
            </w:r>
            <w:r w:rsidR="0059703C" w:rsidRPr="009C63E2">
              <w:rPr>
                <w:sz w:val="22"/>
                <w:szCs w:val="22"/>
              </w:rPr>
              <w:t>termiņ</w:t>
            </w:r>
            <w:r w:rsidR="0059703C">
              <w:rPr>
                <w:sz w:val="22"/>
                <w:szCs w:val="22"/>
              </w:rPr>
              <w:t>u</w:t>
            </w:r>
            <w:r w:rsidRPr="009C63E2">
              <w:rPr>
                <w:sz w:val="22"/>
                <w:szCs w:val="22"/>
              </w:rPr>
              <w:t>, maksāšanas noteikum</w:t>
            </w:r>
            <w:r>
              <w:rPr>
                <w:sz w:val="22"/>
                <w:szCs w:val="22"/>
              </w:rPr>
              <w:t>i</w:t>
            </w:r>
            <w:r w:rsidR="0059703C">
              <w:rPr>
                <w:sz w:val="22"/>
                <w:szCs w:val="22"/>
              </w:rPr>
              <w:t>em</w:t>
            </w:r>
            <w:r w:rsidRPr="009C63E2">
              <w:rPr>
                <w:sz w:val="22"/>
                <w:szCs w:val="22"/>
              </w:rPr>
              <w:t xml:space="preserve">, </w:t>
            </w:r>
            <w:r w:rsidRPr="009C63E2">
              <w:rPr>
                <w:sz w:val="22"/>
                <w:szCs w:val="22"/>
              </w:rPr>
              <w:br/>
              <w:t xml:space="preserve">un izmantotajiem materiāliem. </w:t>
            </w:r>
            <w:r>
              <w:rPr>
                <w:sz w:val="22"/>
                <w:szCs w:val="22"/>
              </w:rPr>
              <w:t>V</w:t>
            </w:r>
            <w:r w:rsidRPr="009C63E2">
              <w:rPr>
                <w:sz w:val="22"/>
                <w:szCs w:val="22"/>
              </w:rPr>
              <w:t xml:space="preserve">ienmēr </w:t>
            </w:r>
            <w:r w:rsidRPr="009C63E2">
              <w:rPr>
                <w:sz w:val="22"/>
                <w:szCs w:val="22"/>
              </w:rPr>
              <w:br/>
              <w:t xml:space="preserve">nepieciešams veikt analīzi </w:t>
            </w:r>
            <w:r>
              <w:rPr>
                <w:sz w:val="22"/>
                <w:szCs w:val="22"/>
              </w:rPr>
              <w:t>pēc</w:t>
            </w:r>
            <w:r w:rsidRPr="009C63E2">
              <w:rPr>
                <w:sz w:val="22"/>
                <w:szCs w:val="22"/>
              </w:rPr>
              <w:t xml:space="preserve"> </w:t>
            </w:r>
            <w:r w:rsidRPr="009C63E2">
              <w:rPr>
                <w:i/>
                <w:sz w:val="22"/>
                <w:szCs w:val="22"/>
              </w:rPr>
              <w:t>case by</w:t>
            </w:r>
            <w:r w:rsidRPr="009C63E2">
              <w:rPr>
                <w:i/>
                <w:sz w:val="22"/>
                <w:szCs w:val="22"/>
              </w:rPr>
              <w:br/>
              <w:t>case</w:t>
            </w:r>
            <w:r>
              <w:rPr>
                <w:i/>
                <w:sz w:val="22"/>
                <w:szCs w:val="22"/>
              </w:rPr>
              <w:t xml:space="preserve"> </w:t>
            </w:r>
            <w:r w:rsidRPr="009C63E2">
              <w:rPr>
                <w:sz w:val="22"/>
                <w:szCs w:val="22"/>
              </w:rPr>
              <w:t>principa, pamatojoties uz to, kas ir būtiski elementi</w:t>
            </w:r>
          </w:p>
        </w:tc>
        <w:tc>
          <w:tcPr>
            <w:tcW w:w="916" w:type="pct"/>
            <w:tcBorders>
              <w:bottom w:val="single" w:sz="4" w:space="0" w:color="auto"/>
            </w:tcBorders>
          </w:tcPr>
          <w:p w14:paraId="339D95C7" w14:textId="77777777" w:rsidR="000A6D4F" w:rsidRDefault="000A6D4F" w:rsidP="000A6D4F">
            <w:pPr>
              <w:jc w:val="both"/>
              <w:rPr>
                <w:sz w:val="22"/>
                <w:szCs w:val="22"/>
              </w:rPr>
            </w:pPr>
            <w:r>
              <w:rPr>
                <w:sz w:val="22"/>
                <w:szCs w:val="22"/>
              </w:rPr>
              <w:t xml:space="preserve">25% apmērā no līguma summas </w:t>
            </w:r>
          </w:p>
          <w:p w14:paraId="3F87D1B4" w14:textId="77777777" w:rsidR="000A6D4F" w:rsidRDefault="000A6D4F" w:rsidP="000A6D4F">
            <w:pPr>
              <w:rPr>
                <w:sz w:val="22"/>
                <w:szCs w:val="22"/>
              </w:rPr>
            </w:pPr>
          </w:p>
          <w:p w14:paraId="5884BB22" w14:textId="77777777" w:rsidR="000A6D4F" w:rsidRDefault="000A6D4F" w:rsidP="000A6D4F">
            <w:pPr>
              <w:rPr>
                <w:sz w:val="22"/>
                <w:szCs w:val="22"/>
              </w:rPr>
            </w:pPr>
            <w:r>
              <w:rPr>
                <w:sz w:val="22"/>
                <w:szCs w:val="22"/>
              </w:rPr>
              <w:t>Plus</w:t>
            </w:r>
          </w:p>
          <w:p w14:paraId="770BF1E6" w14:textId="77777777" w:rsidR="000A6D4F" w:rsidRDefault="000A6D4F" w:rsidP="000A6D4F">
            <w:pPr>
              <w:rPr>
                <w:sz w:val="22"/>
                <w:szCs w:val="22"/>
              </w:rPr>
            </w:pPr>
          </w:p>
          <w:p w14:paraId="204BE9A3" w14:textId="77777777" w:rsidR="000A6D4F" w:rsidRPr="00D34969" w:rsidRDefault="000A6D4F" w:rsidP="000A6D4F">
            <w:pPr>
              <w:jc w:val="both"/>
              <w:rPr>
                <w:sz w:val="22"/>
                <w:szCs w:val="22"/>
              </w:rPr>
            </w:pPr>
            <w:r>
              <w:rPr>
                <w:sz w:val="22"/>
                <w:szCs w:val="22"/>
              </w:rPr>
              <w:t xml:space="preserve">Papildus līguma summa, kas radusies līguma būtisko  elementu izmaiņu rezultātā </w:t>
            </w:r>
          </w:p>
        </w:tc>
      </w:tr>
      <w:tr w:rsidR="000A6D4F" w:rsidRPr="009D07C7" w14:paraId="60D4B0B8" w14:textId="77777777" w:rsidTr="002679E5">
        <w:tc>
          <w:tcPr>
            <w:tcW w:w="276" w:type="pct"/>
            <w:tcBorders>
              <w:bottom w:val="single" w:sz="4" w:space="0" w:color="auto"/>
            </w:tcBorders>
          </w:tcPr>
          <w:p w14:paraId="3836A6A5" w14:textId="77777777" w:rsidR="000A6D4F" w:rsidRPr="009D07C7" w:rsidRDefault="000A6D4F" w:rsidP="002679E5">
            <w:pPr>
              <w:numPr>
                <w:ilvl w:val="0"/>
                <w:numId w:val="1"/>
              </w:numPr>
              <w:rPr>
                <w:sz w:val="22"/>
                <w:szCs w:val="22"/>
              </w:rPr>
            </w:pPr>
          </w:p>
        </w:tc>
        <w:tc>
          <w:tcPr>
            <w:tcW w:w="1726" w:type="pct"/>
            <w:tcBorders>
              <w:bottom w:val="single" w:sz="4" w:space="0" w:color="auto"/>
            </w:tcBorders>
            <w:vAlign w:val="center"/>
          </w:tcPr>
          <w:p w14:paraId="23A3E3E1" w14:textId="77777777" w:rsidR="000A6D4F" w:rsidRDefault="000A6D4F" w:rsidP="000A6D4F">
            <w:pPr>
              <w:jc w:val="both"/>
              <w:rPr>
                <w:sz w:val="22"/>
                <w:szCs w:val="22"/>
              </w:rPr>
            </w:pPr>
            <w:r>
              <w:rPr>
                <w:sz w:val="22"/>
                <w:szCs w:val="22"/>
              </w:rPr>
              <w:t>Apjoma samazinājums līguma ietvaros</w:t>
            </w:r>
          </w:p>
          <w:p w14:paraId="616A03B5" w14:textId="77777777" w:rsidR="000A6D4F" w:rsidRPr="002214D9" w:rsidRDefault="000A6D4F" w:rsidP="000A6D4F">
            <w:pPr>
              <w:jc w:val="both"/>
              <w:rPr>
                <w:i/>
                <w:sz w:val="22"/>
                <w:szCs w:val="22"/>
              </w:rPr>
            </w:pPr>
          </w:p>
          <w:p w14:paraId="3B1D0FD8" w14:textId="77777777" w:rsidR="000A6D4F" w:rsidRPr="002214D9" w:rsidRDefault="000A6D4F" w:rsidP="000A6D4F">
            <w:pPr>
              <w:jc w:val="both"/>
              <w:rPr>
                <w:i/>
                <w:sz w:val="22"/>
                <w:szCs w:val="22"/>
              </w:rPr>
            </w:pPr>
            <w:r w:rsidRPr="002214D9">
              <w:rPr>
                <w:i/>
                <w:sz w:val="22"/>
                <w:szCs w:val="22"/>
              </w:rPr>
              <w:t>Direktīvas Nr.</w:t>
            </w:r>
            <w:r w:rsidR="00951384">
              <w:rPr>
                <w:i/>
                <w:sz w:val="22"/>
                <w:szCs w:val="22"/>
              </w:rPr>
              <w:t>2014/24/EK 18(1).pants</w:t>
            </w:r>
          </w:p>
          <w:p w14:paraId="64F5AA2F" w14:textId="77777777" w:rsidR="000A6D4F" w:rsidRPr="002214D9" w:rsidRDefault="000A6D4F" w:rsidP="000A6D4F">
            <w:pPr>
              <w:jc w:val="both"/>
              <w:rPr>
                <w:i/>
                <w:sz w:val="22"/>
                <w:szCs w:val="22"/>
              </w:rPr>
            </w:pPr>
            <w:r w:rsidRPr="002214D9">
              <w:rPr>
                <w:i/>
                <w:sz w:val="22"/>
                <w:szCs w:val="22"/>
              </w:rPr>
              <w:t>Direktīvas Nr.2004/17/EK 10.pants</w:t>
            </w:r>
          </w:p>
          <w:p w14:paraId="3F8EA950" w14:textId="77777777" w:rsidR="000A6D4F" w:rsidRPr="00D34969" w:rsidRDefault="00A2172D" w:rsidP="000A6D4F">
            <w:pPr>
              <w:jc w:val="both"/>
              <w:rPr>
                <w:sz w:val="22"/>
                <w:szCs w:val="22"/>
              </w:rPr>
            </w:pPr>
            <w:r w:rsidRPr="00A2172D">
              <w:rPr>
                <w:sz w:val="22"/>
                <w:szCs w:val="22"/>
              </w:rPr>
              <w:t>(EK 19.12.2013. vadlīniju  2.1.sadaļas 2</w:t>
            </w:r>
            <w:r>
              <w:rPr>
                <w:sz w:val="22"/>
                <w:szCs w:val="22"/>
              </w:rPr>
              <w:t>3</w:t>
            </w:r>
            <w:r w:rsidRPr="00A2172D">
              <w:rPr>
                <w:sz w:val="22"/>
                <w:szCs w:val="22"/>
              </w:rPr>
              <w:t>.punkts)</w:t>
            </w:r>
          </w:p>
        </w:tc>
        <w:tc>
          <w:tcPr>
            <w:tcW w:w="2082" w:type="pct"/>
            <w:gridSpan w:val="2"/>
            <w:tcBorders>
              <w:bottom w:val="single" w:sz="4" w:space="0" w:color="auto"/>
            </w:tcBorders>
          </w:tcPr>
          <w:p w14:paraId="5F022C8A" w14:textId="77777777" w:rsidR="000A6D4F" w:rsidRPr="002214D9" w:rsidRDefault="000A6D4F" w:rsidP="00E41FF3">
            <w:pPr>
              <w:autoSpaceDE w:val="0"/>
              <w:autoSpaceDN w:val="0"/>
              <w:adjustRightInd w:val="0"/>
              <w:jc w:val="both"/>
              <w:rPr>
                <w:sz w:val="22"/>
                <w:szCs w:val="22"/>
              </w:rPr>
            </w:pPr>
            <w:r w:rsidRPr="002214D9">
              <w:rPr>
                <w:sz w:val="22"/>
                <w:szCs w:val="22"/>
              </w:rPr>
              <w:t>Līgumslēgšanas tiesības ir piešķirtas, ievērojot Direktīvu noteikumus, bet ir samazināta līguma priekšmeta vērtība.</w:t>
            </w:r>
          </w:p>
        </w:tc>
        <w:tc>
          <w:tcPr>
            <w:tcW w:w="916" w:type="pct"/>
            <w:tcBorders>
              <w:bottom w:val="single" w:sz="4" w:space="0" w:color="auto"/>
            </w:tcBorders>
            <w:vAlign w:val="center"/>
          </w:tcPr>
          <w:p w14:paraId="71739919" w14:textId="77777777" w:rsidR="000A6D4F" w:rsidRDefault="000A6D4F" w:rsidP="000A6D4F">
            <w:pPr>
              <w:jc w:val="both"/>
              <w:rPr>
                <w:sz w:val="22"/>
                <w:szCs w:val="22"/>
              </w:rPr>
            </w:pPr>
            <w:r>
              <w:rPr>
                <w:sz w:val="22"/>
                <w:szCs w:val="22"/>
              </w:rPr>
              <w:t xml:space="preserve">Apjoma samazinājuma vērtība </w:t>
            </w:r>
          </w:p>
          <w:p w14:paraId="7AC554A8" w14:textId="77777777" w:rsidR="000A6D4F" w:rsidRDefault="000A6D4F" w:rsidP="000A6D4F">
            <w:pPr>
              <w:jc w:val="both"/>
              <w:rPr>
                <w:sz w:val="22"/>
                <w:szCs w:val="22"/>
              </w:rPr>
            </w:pPr>
            <w:r>
              <w:rPr>
                <w:sz w:val="22"/>
                <w:szCs w:val="22"/>
              </w:rPr>
              <w:t>Plus</w:t>
            </w:r>
          </w:p>
          <w:p w14:paraId="7F4DA58B" w14:textId="77777777" w:rsidR="000A6D4F" w:rsidRPr="00D34969" w:rsidRDefault="000A6D4F" w:rsidP="000A6D4F">
            <w:pPr>
              <w:jc w:val="both"/>
              <w:rPr>
                <w:sz w:val="22"/>
                <w:szCs w:val="22"/>
              </w:rPr>
            </w:pPr>
            <w:r>
              <w:rPr>
                <w:sz w:val="22"/>
                <w:szCs w:val="22"/>
              </w:rPr>
              <w:t xml:space="preserve">25% no līguma gala vērtības (piemēro tikai, ja </w:t>
            </w:r>
            <w:r>
              <w:rPr>
                <w:sz w:val="22"/>
                <w:szCs w:val="22"/>
              </w:rPr>
              <w:lastRenderedPageBreak/>
              <w:t>līguma apjoma samazinājums ir būtisks)</w:t>
            </w:r>
          </w:p>
        </w:tc>
      </w:tr>
      <w:tr w:rsidR="000A6D4F" w:rsidRPr="009D07C7" w14:paraId="26C5B52D" w14:textId="77777777" w:rsidTr="002679E5">
        <w:tc>
          <w:tcPr>
            <w:tcW w:w="276" w:type="pct"/>
            <w:tcBorders>
              <w:bottom w:val="single" w:sz="4" w:space="0" w:color="auto"/>
            </w:tcBorders>
          </w:tcPr>
          <w:p w14:paraId="5A8C59FC" w14:textId="77777777" w:rsidR="000A6D4F" w:rsidRPr="009D07C7" w:rsidRDefault="000A6D4F" w:rsidP="002679E5">
            <w:pPr>
              <w:numPr>
                <w:ilvl w:val="0"/>
                <w:numId w:val="1"/>
              </w:numPr>
              <w:rPr>
                <w:sz w:val="22"/>
                <w:szCs w:val="22"/>
              </w:rPr>
            </w:pPr>
          </w:p>
        </w:tc>
        <w:tc>
          <w:tcPr>
            <w:tcW w:w="1726" w:type="pct"/>
            <w:tcBorders>
              <w:bottom w:val="single" w:sz="4" w:space="0" w:color="auto"/>
            </w:tcBorders>
          </w:tcPr>
          <w:p w14:paraId="5564FBE7" w14:textId="77777777" w:rsidR="000A6D4F" w:rsidRPr="000F4391" w:rsidRDefault="000A6D4F" w:rsidP="000A6D4F">
            <w:pPr>
              <w:jc w:val="both"/>
              <w:rPr>
                <w:sz w:val="22"/>
                <w:szCs w:val="22"/>
              </w:rPr>
            </w:pPr>
            <w:r w:rsidRPr="000F4391">
              <w:rPr>
                <w:sz w:val="22"/>
                <w:szCs w:val="22"/>
              </w:rPr>
              <w:t>Līguma slēgšanas tiesību piešķiršana par papildu darbiem, pakalpojumiem, piegādēm (ja šāda piešķiršana ir būtiskas izmaiņas  sākotnējie</w:t>
            </w:r>
            <w:r w:rsidR="0059703C">
              <w:rPr>
                <w:sz w:val="22"/>
                <w:szCs w:val="22"/>
              </w:rPr>
              <w:t>m</w:t>
            </w:r>
            <w:r w:rsidRPr="000F4391">
              <w:rPr>
                <w:sz w:val="22"/>
                <w:szCs w:val="22"/>
              </w:rPr>
              <w:t xml:space="preserve"> </w:t>
            </w:r>
            <w:r w:rsidR="0059703C">
              <w:rPr>
                <w:sz w:val="22"/>
                <w:szCs w:val="22"/>
              </w:rPr>
              <w:t>līguma nosacījumiem</w:t>
            </w:r>
            <w:r w:rsidRPr="000F4391">
              <w:rPr>
                <w:sz w:val="22"/>
                <w:szCs w:val="22"/>
              </w:rPr>
              <w:t>) bez konkursa pie viena no šādiem nosacījumiem:</w:t>
            </w:r>
          </w:p>
          <w:p w14:paraId="1E20A137" w14:textId="77777777" w:rsidR="000A6D4F" w:rsidRPr="000F4391" w:rsidRDefault="000A6D4F" w:rsidP="003C2BFB">
            <w:pPr>
              <w:numPr>
                <w:ilvl w:val="0"/>
                <w:numId w:val="13"/>
              </w:numPr>
              <w:jc w:val="both"/>
              <w:rPr>
                <w:sz w:val="22"/>
                <w:szCs w:val="22"/>
              </w:rPr>
            </w:pPr>
            <w:r w:rsidRPr="000F4391">
              <w:rPr>
                <w:sz w:val="22"/>
                <w:szCs w:val="22"/>
              </w:rPr>
              <w:t>Nav neparedzamu apstākļu  izraisītas ārkārtas vajadzības vai</w:t>
            </w:r>
          </w:p>
          <w:p w14:paraId="64D57BB7" w14:textId="77777777" w:rsidR="000A6D4F" w:rsidRPr="000F4391" w:rsidRDefault="000A6D4F" w:rsidP="003C2BFB">
            <w:pPr>
              <w:numPr>
                <w:ilvl w:val="0"/>
                <w:numId w:val="13"/>
              </w:numPr>
              <w:jc w:val="both"/>
              <w:rPr>
                <w:sz w:val="22"/>
                <w:szCs w:val="22"/>
              </w:rPr>
            </w:pPr>
            <w:r w:rsidRPr="000F4391">
              <w:rPr>
                <w:sz w:val="22"/>
                <w:szCs w:val="22"/>
              </w:rPr>
              <w:t xml:space="preserve"> Nav neparedzamu apstākļu  attiecībā uz papildu </w:t>
            </w:r>
            <w:r w:rsidR="00286F0A" w:rsidRPr="000F4391">
              <w:rPr>
                <w:sz w:val="22"/>
                <w:szCs w:val="22"/>
              </w:rPr>
              <w:t>darb</w:t>
            </w:r>
            <w:r w:rsidR="00286F0A">
              <w:rPr>
                <w:sz w:val="22"/>
                <w:szCs w:val="22"/>
              </w:rPr>
              <w:t>iem</w:t>
            </w:r>
            <w:r w:rsidR="00286F0A" w:rsidRPr="000F4391">
              <w:rPr>
                <w:sz w:val="22"/>
                <w:szCs w:val="22"/>
              </w:rPr>
              <w:t xml:space="preserve"> </w:t>
            </w:r>
            <w:r w:rsidRPr="000F4391">
              <w:rPr>
                <w:sz w:val="22"/>
                <w:szCs w:val="22"/>
              </w:rPr>
              <w:t>un pakalpojumiem vai piegādēm</w:t>
            </w:r>
          </w:p>
          <w:p w14:paraId="6CF81948" w14:textId="77777777" w:rsidR="000A6D4F" w:rsidRPr="000F4391" w:rsidRDefault="000A6D4F" w:rsidP="000A6D4F">
            <w:pPr>
              <w:jc w:val="both"/>
              <w:rPr>
                <w:sz w:val="22"/>
                <w:szCs w:val="22"/>
                <w:highlight w:val="yellow"/>
              </w:rPr>
            </w:pPr>
          </w:p>
          <w:p w14:paraId="04EEDE63" w14:textId="77777777" w:rsidR="000A6D4F" w:rsidRDefault="000A6D4F" w:rsidP="000A6D4F">
            <w:pPr>
              <w:jc w:val="both"/>
              <w:rPr>
                <w:i/>
                <w:sz w:val="22"/>
                <w:szCs w:val="22"/>
              </w:rPr>
            </w:pPr>
            <w:r w:rsidRPr="000F4391">
              <w:rPr>
                <w:i/>
                <w:sz w:val="22"/>
                <w:szCs w:val="22"/>
              </w:rPr>
              <w:t>Direktīvas</w:t>
            </w:r>
            <w:r w:rsidRPr="000F4391">
              <w:rPr>
                <w:sz w:val="22"/>
                <w:szCs w:val="22"/>
              </w:rPr>
              <w:t xml:space="preserve"> </w:t>
            </w:r>
            <w:r w:rsidRPr="000F4391">
              <w:rPr>
                <w:i/>
                <w:sz w:val="22"/>
                <w:szCs w:val="22"/>
              </w:rPr>
              <w:t>Nr.</w:t>
            </w:r>
            <w:r w:rsidR="00361CB3">
              <w:rPr>
                <w:i/>
                <w:sz w:val="22"/>
                <w:szCs w:val="22"/>
              </w:rPr>
              <w:t>2014/24/EK 32.panta 2(c) punkts</w:t>
            </w:r>
            <w:r w:rsidR="00B24CC2">
              <w:rPr>
                <w:i/>
                <w:sz w:val="22"/>
                <w:szCs w:val="22"/>
              </w:rPr>
              <w:t>, 72.pants</w:t>
            </w:r>
          </w:p>
          <w:p w14:paraId="5AD63FEC" w14:textId="77777777" w:rsidR="00A2172D" w:rsidRDefault="00A2172D" w:rsidP="000A6D4F">
            <w:pPr>
              <w:jc w:val="both"/>
              <w:rPr>
                <w:i/>
                <w:sz w:val="22"/>
                <w:szCs w:val="22"/>
              </w:rPr>
            </w:pPr>
          </w:p>
          <w:p w14:paraId="685F3745" w14:textId="77777777" w:rsidR="00A2172D" w:rsidRPr="000F4391" w:rsidRDefault="00A2172D" w:rsidP="000A6D4F">
            <w:pPr>
              <w:jc w:val="both"/>
              <w:rPr>
                <w:sz w:val="22"/>
                <w:szCs w:val="22"/>
                <w:highlight w:val="yellow"/>
              </w:rPr>
            </w:pPr>
            <w:r w:rsidRPr="00A2172D">
              <w:rPr>
                <w:sz w:val="22"/>
                <w:szCs w:val="22"/>
              </w:rPr>
              <w:t>(EK 19.12.2013. vadlīniju  2.1.sadaļas 2</w:t>
            </w:r>
            <w:r>
              <w:rPr>
                <w:sz w:val="22"/>
                <w:szCs w:val="22"/>
              </w:rPr>
              <w:t>4</w:t>
            </w:r>
            <w:r w:rsidRPr="00A2172D">
              <w:rPr>
                <w:sz w:val="22"/>
                <w:szCs w:val="22"/>
              </w:rPr>
              <w:t>.punkts)</w:t>
            </w:r>
          </w:p>
        </w:tc>
        <w:tc>
          <w:tcPr>
            <w:tcW w:w="2082" w:type="pct"/>
            <w:gridSpan w:val="2"/>
            <w:tcBorders>
              <w:bottom w:val="single" w:sz="4" w:space="0" w:color="auto"/>
            </w:tcBorders>
          </w:tcPr>
          <w:p w14:paraId="27D8398B" w14:textId="77777777" w:rsidR="000A6D4F" w:rsidRPr="000F4391" w:rsidRDefault="000A6D4F" w:rsidP="000A6D4F">
            <w:pPr>
              <w:jc w:val="both"/>
              <w:rPr>
                <w:sz w:val="22"/>
                <w:szCs w:val="22"/>
              </w:rPr>
            </w:pPr>
          </w:p>
          <w:p w14:paraId="2D245D6B" w14:textId="77777777" w:rsidR="000A6D4F" w:rsidRPr="000F4391" w:rsidRDefault="000A6D4F" w:rsidP="000A6D4F">
            <w:pPr>
              <w:autoSpaceDE w:val="0"/>
              <w:autoSpaceDN w:val="0"/>
              <w:adjustRightInd w:val="0"/>
              <w:jc w:val="both"/>
              <w:rPr>
                <w:rFonts w:ascii="TimesNewRoman" w:eastAsia="Calibri" w:hAnsi="TimesNewRoman" w:cs="TimesNewRoman"/>
                <w:sz w:val="22"/>
                <w:szCs w:val="22"/>
                <w:lang w:eastAsia="en-US"/>
              </w:rPr>
            </w:pPr>
            <w:r w:rsidRPr="000F4391">
              <w:rPr>
                <w:rFonts w:ascii="TimesNewRoman" w:eastAsia="Calibri" w:hAnsi="TimesNewRoman" w:cs="TimesNewRoman"/>
                <w:sz w:val="22"/>
                <w:szCs w:val="22"/>
                <w:lang w:eastAsia="en-US"/>
              </w:rPr>
              <w:t xml:space="preserve">Galvenā līguma slēgšanas tiesības ir piešķirtas, ievērojot </w:t>
            </w:r>
            <w:r w:rsidRPr="000F4391">
              <w:rPr>
                <w:sz w:val="22"/>
                <w:szCs w:val="22"/>
              </w:rPr>
              <w:t xml:space="preserve">attiecīgajos noteikumos </w:t>
            </w:r>
            <w:r w:rsidRPr="000F4391">
              <w:rPr>
                <w:rFonts w:ascii="TimesNewRoman" w:eastAsia="Calibri" w:hAnsi="TimesNewRoman" w:cs="TimesNewRoman"/>
                <w:sz w:val="22"/>
                <w:szCs w:val="22"/>
                <w:lang w:eastAsia="en-US"/>
              </w:rPr>
              <w:t>noteikto, bet viens vai vairāki no papildu līgumiem (sagatavots (-i) rakstveidā vai nē) noslēgts(-i), neievērojot D</w:t>
            </w:r>
            <w:r w:rsidRPr="000F4391">
              <w:rPr>
                <w:rFonts w:ascii="TimesNewRoman,Bold" w:eastAsia="Calibri" w:hAnsi="TimesNewRoman,Bold" w:cs="TimesNewRoman,Bold"/>
                <w:bCs/>
                <w:sz w:val="22"/>
                <w:szCs w:val="22"/>
                <w:lang w:eastAsia="en-US"/>
              </w:rPr>
              <w:t>irektīvu noteikumus</w:t>
            </w:r>
            <w:r w:rsidRPr="000F4391">
              <w:rPr>
                <w:rFonts w:ascii="TimesNewRoman" w:eastAsia="Calibri" w:hAnsi="TimesNewRoman" w:cs="TimesNewRoman"/>
                <w:sz w:val="22"/>
                <w:szCs w:val="22"/>
                <w:lang w:eastAsia="en-US"/>
              </w:rPr>
              <w:t>, proti, noteikumus par sarunu procedūru, nepublicējot</w:t>
            </w:r>
            <w:r w:rsidRPr="000F4391">
              <w:rPr>
                <w:rFonts w:ascii="TimesNewRoman,Bold" w:eastAsia="Calibri" w:hAnsi="TimesNewRoman,Bold" w:cs="TimesNewRoman,Bold"/>
                <w:b/>
                <w:bCs/>
                <w:sz w:val="22"/>
                <w:szCs w:val="22"/>
                <w:lang w:eastAsia="en-US"/>
              </w:rPr>
              <w:t xml:space="preserve"> </w:t>
            </w:r>
            <w:r w:rsidRPr="000F4391">
              <w:rPr>
                <w:rFonts w:ascii="TimesNewRoman" w:eastAsia="Calibri" w:hAnsi="TimesNewRoman" w:cs="TimesNewRoman"/>
                <w:sz w:val="22"/>
                <w:szCs w:val="22"/>
                <w:lang w:eastAsia="en-US"/>
              </w:rPr>
              <w:t>paziņojums sakarā ar steidzamu vajadzību, ko izraisījuši neparedzēti notikumi vai</w:t>
            </w:r>
            <w:r w:rsidRPr="000F4391">
              <w:rPr>
                <w:rFonts w:ascii="TimesNewRoman,Bold" w:eastAsia="Calibri" w:hAnsi="TimesNewRoman,Bold" w:cs="TimesNewRoman,Bold"/>
                <w:b/>
                <w:bCs/>
                <w:sz w:val="22"/>
                <w:szCs w:val="22"/>
                <w:lang w:eastAsia="en-US"/>
              </w:rPr>
              <w:t xml:space="preserve"> </w:t>
            </w:r>
            <w:r w:rsidRPr="000F4391">
              <w:rPr>
                <w:rFonts w:ascii="TimesNewRoman" w:eastAsia="Calibri" w:hAnsi="TimesNewRoman" w:cs="TimesNewRoman"/>
                <w:sz w:val="22"/>
                <w:szCs w:val="22"/>
                <w:lang w:eastAsia="en-US"/>
              </w:rPr>
              <w:t>slēdzot papildu būvdarbu, pakalpojumu vai piegāžu līgumus.</w:t>
            </w:r>
          </w:p>
          <w:p w14:paraId="67209621" w14:textId="77777777" w:rsidR="000A6D4F" w:rsidRPr="000F4391" w:rsidRDefault="000A6D4F" w:rsidP="000A6D4F">
            <w:pPr>
              <w:jc w:val="both"/>
              <w:rPr>
                <w:sz w:val="22"/>
                <w:szCs w:val="22"/>
              </w:rPr>
            </w:pPr>
          </w:p>
          <w:p w14:paraId="682C5C08" w14:textId="77777777" w:rsidR="000A6D4F" w:rsidRPr="000F4391" w:rsidRDefault="000A6D4F" w:rsidP="000A6D4F">
            <w:pPr>
              <w:jc w:val="both"/>
              <w:rPr>
                <w:sz w:val="22"/>
                <w:szCs w:val="22"/>
              </w:rPr>
            </w:pPr>
          </w:p>
          <w:p w14:paraId="08D39C44" w14:textId="77777777" w:rsidR="000A6D4F" w:rsidRPr="000F4391" w:rsidRDefault="000A6D4F" w:rsidP="000A6D4F">
            <w:pPr>
              <w:jc w:val="both"/>
              <w:rPr>
                <w:sz w:val="22"/>
                <w:szCs w:val="22"/>
              </w:rPr>
            </w:pPr>
          </w:p>
        </w:tc>
        <w:tc>
          <w:tcPr>
            <w:tcW w:w="916" w:type="pct"/>
            <w:tcBorders>
              <w:bottom w:val="single" w:sz="4" w:space="0" w:color="auto"/>
            </w:tcBorders>
          </w:tcPr>
          <w:p w14:paraId="391E8BC2" w14:textId="77777777" w:rsidR="000A6D4F" w:rsidRPr="000F4391" w:rsidRDefault="000A6D4F" w:rsidP="000A6D4F">
            <w:pPr>
              <w:jc w:val="both"/>
              <w:rPr>
                <w:sz w:val="22"/>
                <w:szCs w:val="22"/>
              </w:rPr>
            </w:pPr>
            <w:r w:rsidRPr="000F4391">
              <w:rPr>
                <w:sz w:val="22"/>
                <w:szCs w:val="22"/>
              </w:rPr>
              <w:t>100% no papildus līguma vērtības.</w:t>
            </w:r>
          </w:p>
          <w:p w14:paraId="63E46E03" w14:textId="77777777" w:rsidR="000A6D4F" w:rsidRPr="000F4391" w:rsidRDefault="000A6D4F" w:rsidP="000A6D4F">
            <w:pPr>
              <w:jc w:val="both"/>
              <w:rPr>
                <w:sz w:val="22"/>
                <w:szCs w:val="22"/>
              </w:rPr>
            </w:pPr>
          </w:p>
          <w:p w14:paraId="4D5D4F71" w14:textId="77777777" w:rsidR="000A6D4F" w:rsidRPr="000F4391" w:rsidRDefault="000A6D4F" w:rsidP="000A6D4F">
            <w:pPr>
              <w:autoSpaceDE w:val="0"/>
              <w:autoSpaceDN w:val="0"/>
              <w:adjustRightInd w:val="0"/>
              <w:jc w:val="both"/>
              <w:rPr>
                <w:rFonts w:ascii="TimesNewRoman,Bold" w:eastAsia="Calibri" w:hAnsi="TimesNewRoman,Bold" w:cs="TimesNewRoman,Bold"/>
                <w:bCs/>
                <w:sz w:val="22"/>
                <w:szCs w:val="22"/>
                <w:lang w:eastAsia="en-US"/>
              </w:rPr>
            </w:pPr>
            <w:r w:rsidRPr="000F4391">
              <w:rPr>
                <w:rFonts w:ascii="TimesNewRoman,Bold" w:eastAsia="Calibri" w:hAnsi="TimesNewRoman,Bold" w:cs="TimesNewRoman,Bold"/>
                <w:bCs/>
                <w:sz w:val="22"/>
                <w:szCs w:val="22"/>
                <w:lang w:eastAsia="en-US"/>
              </w:rPr>
              <w:t>Gadījumā, ja visu papildu līgumu (sagatavoti rakstveidā</w:t>
            </w:r>
          </w:p>
          <w:p w14:paraId="0FBD808A" w14:textId="77777777" w:rsidR="000A6D4F" w:rsidRPr="000F4391" w:rsidRDefault="000A6D4F" w:rsidP="000A6D4F">
            <w:pPr>
              <w:autoSpaceDE w:val="0"/>
              <w:autoSpaceDN w:val="0"/>
              <w:adjustRightInd w:val="0"/>
              <w:jc w:val="both"/>
              <w:rPr>
                <w:rFonts w:ascii="TimesNewRoman,Bold" w:eastAsia="Calibri" w:hAnsi="TimesNewRoman,Bold" w:cs="TimesNewRoman,Bold"/>
                <w:bCs/>
                <w:sz w:val="22"/>
                <w:szCs w:val="22"/>
                <w:lang w:eastAsia="en-US"/>
              </w:rPr>
            </w:pPr>
            <w:r w:rsidRPr="000F4391">
              <w:rPr>
                <w:rFonts w:ascii="TimesNewRoman,Bold" w:eastAsia="Calibri" w:hAnsi="TimesNewRoman,Bold" w:cs="TimesNewRoman,Bold"/>
                <w:bCs/>
                <w:sz w:val="22"/>
                <w:szCs w:val="22"/>
                <w:lang w:eastAsia="en-US"/>
              </w:rPr>
              <w:t>vai nē), kas ir noslēgti,</w:t>
            </w:r>
          </w:p>
          <w:p w14:paraId="73F8E37B" w14:textId="77777777" w:rsidR="000A6D4F" w:rsidRPr="000F4391" w:rsidRDefault="000A6D4F" w:rsidP="000A6D4F">
            <w:pPr>
              <w:autoSpaceDE w:val="0"/>
              <w:autoSpaceDN w:val="0"/>
              <w:adjustRightInd w:val="0"/>
              <w:jc w:val="both"/>
              <w:rPr>
                <w:rFonts w:ascii="TimesNewRoman,Bold" w:eastAsia="Calibri" w:hAnsi="TimesNewRoman,Bold" w:cs="TimesNewRoman,Bold"/>
                <w:bCs/>
                <w:sz w:val="22"/>
                <w:szCs w:val="22"/>
                <w:lang w:eastAsia="en-US"/>
              </w:rPr>
            </w:pPr>
            <w:r w:rsidRPr="000F4391">
              <w:rPr>
                <w:rFonts w:ascii="TimesNewRoman,Bold" w:eastAsia="Calibri" w:hAnsi="TimesNewRoman,Bold" w:cs="TimesNewRoman,Bold"/>
                <w:bCs/>
                <w:sz w:val="22"/>
                <w:szCs w:val="22"/>
                <w:lang w:eastAsia="en-US"/>
              </w:rPr>
              <w:t>neievērojot publiskā iepirkuma direktīvu</w:t>
            </w:r>
            <w:r w:rsidR="00631A3A">
              <w:rPr>
                <w:rFonts w:ascii="TimesNewRoman,Bold" w:eastAsia="Calibri" w:hAnsi="TimesNewRoman,Bold" w:cs="TimesNewRoman,Bold"/>
                <w:bCs/>
                <w:sz w:val="22"/>
                <w:szCs w:val="22"/>
                <w:lang w:eastAsia="en-US"/>
              </w:rPr>
              <w:t xml:space="preserve"> vai nacionālo normatīvo aktu</w:t>
            </w:r>
            <w:r w:rsidRPr="000F4391">
              <w:rPr>
                <w:rFonts w:ascii="TimesNewRoman,Bold" w:eastAsia="Calibri" w:hAnsi="TimesNewRoman,Bold" w:cs="TimesNewRoman,Bold"/>
                <w:bCs/>
                <w:sz w:val="22"/>
                <w:szCs w:val="22"/>
                <w:lang w:eastAsia="en-US"/>
              </w:rPr>
              <w:t xml:space="preserve"> noteikumus, cena nepārsniedz ne direktīvās noteiktās robežvērtības, ne </w:t>
            </w:r>
            <w:r w:rsidR="00631A3A" w:rsidRPr="00F129C1">
              <w:rPr>
                <w:sz w:val="22"/>
                <w:szCs w:val="22"/>
              </w:rPr>
              <w:t>attiecīgajos noteikumos noteiktos limitus</w:t>
            </w:r>
            <w:r w:rsidRPr="000F4391">
              <w:rPr>
                <w:rFonts w:ascii="TimesNewRoman,Bold" w:eastAsia="Calibri" w:hAnsi="TimesNewRoman,Bold" w:cs="TimesNewRoman,Bold"/>
                <w:bCs/>
                <w:sz w:val="22"/>
                <w:szCs w:val="22"/>
                <w:lang w:eastAsia="en-US"/>
              </w:rPr>
              <w:t xml:space="preserve"> no galvenā līguma vērtības, korekcijas summu var samazināt</w:t>
            </w:r>
          </w:p>
          <w:p w14:paraId="2E3BCC1D" w14:textId="77777777" w:rsidR="000A6D4F" w:rsidRPr="000F4391" w:rsidRDefault="00A72650" w:rsidP="000A6D4F">
            <w:pPr>
              <w:jc w:val="both"/>
              <w:rPr>
                <w:sz w:val="22"/>
                <w:szCs w:val="22"/>
              </w:rPr>
            </w:pPr>
            <w:r w:rsidRPr="000F4391">
              <w:rPr>
                <w:rFonts w:ascii="TimesNewRoman,Bold" w:eastAsia="Calibri" w:hAnsi="TimesNewRoman,Bold" w:cs="TimesNewRoman,Bold"/>
                <w:bCs/>
                <w:sz w:val="22"/>
                <w:szCs w:val="22"/>
                <w:lang w:eastAsia="en-US"/>
              </w:rPr>
              <w:t>uz</w:t>
            </w:r>
            <w:r w:rsidR="000A6D4F" w:rsidRPr="000F4391">
              <w:rPr>
                <w:rFonts w:ascii="TimesNewRoman,Bold" w:eastAsia="Calibri" w:hAnsi="TimesNewRoman,Bold" w:cs="TimesNewRoman,Bold"/>
                <w:bCs/>
                <w:sz w:val="22"/>
                <w:szCs w:val="22"/>
                <w:lang w:eastAsia="en-US"/>
              </w:rPr>
              <w:t xml:space="preserve"> 25%.</w:t>
            </w:r>
          </w:p>
          <w:p w14:paraId="471233B3" w14:textId="77777777" w:rsidR="000A6D4F" w:rsidRPr="000F4391" w:rsidRDefault="000A6D4F" w:rsidP="000A6D4F">
            <w:pPr>
              <w:jc w:val="both"/>
              <w:rPr>
                <w:sz w:val="22"/>
                <w:szCs w:val="22"/>
              </w:rPr>
            </w:pPr>
          </w:p>
          <w:p w14:paraId="20563897" w14:textId="77777777" w:rsidR="000A6D4F" w:rsidRPr="000F4391" w:rsidRDefault="000A6D4F" w:rsidP="000A6D4F">
            <w:pPr>
              <w:jc w:val="both"/>
              <w:rPr>
                <w:sz w:val="22"/>
                <w:szCs w:val="22"/>
              </w:rPr>
            </w:pPr>
          </w:p>
        </w:tc>
      </w:tr>
      <w:tr w:rsidR="000A6D4F" w:rsidRPr="009D07C7" w14:paraId="4BDFABDC" w14:textId="77777777" w:rsidTr="002679E5">
        <w:tc>
          <w:tcPr>
            <w:tcW w:w="276" w:type="pct"/>
            <w:tcBorders>
              <w:bottom w:val="single" w:sz="4" w:space="0" w:color="auto"/>
            </w:tcBorders>
          </w:tcPr>
          <w:p w14:paraId="09C43B4B" w14:textId="77777777" w:rsidR="000A6D4F" w:rsidRPr="009D07C7" w:rsidRDefault="000A6D4F" w:rsidP="002679E5">
            <w:pPr>
              <w:numPr>
                <w:ilvl w:val="0"/>
                <w:numId w:val="1"/>
              </w:numPr>
              <w:rPr>
                <w:sz w:val="22"/>
                <w:szCs w:val="22"/>
              </w:rPr>
            </w:pPr>
          </w:p>
        </w:tc>
        <w:tc>
          <w:tcPr>
            <w:tcW w:w="1726" w:type="pct"/>
            <w:tcBorders>
              <w:bottom w:val="single" w:sz="4" w:space="0" w:color="auto"/>
            </w:tcBorders>
            <w:vAlign w:val="center"/>
          </w:tcPr>
          <w:p w14:paraId="48236BB6" w14:textId="77777777" w:rsidR="000A6D4F" w:rsidRPr="000F4391" w:rsidRDefault="000A6D4F" w:rsidP="000A6D4F">
            <w:pPr>
              <w:jc w:val="both"/>
              <w:rPr>
                <w:sz w:val="22"/>
                <w:szCs w:val="22"/>
              </w:rPr>
            </w:pPr>
            <w:r w:rsidRPr="000F4391">
              <w:rPr>
                <w:sz w:val="22"/>
                <w:szCs w:val="22"/>
              </w:rPr>
              <w:t>Papildu darbi vai pakalpojumi, kas radušies neparedzamu apstākļu dēļ, kas pārsniedz attiecīgajos noteikumos noteiktos limitus</w:t>
            </w:r>
          </w:p>
          <w:p w14:paraId="11E7F931" w14:textId="77777777" w:rsidR="000A6D4F" w:rsidRPr="000F4391" w:rsidRDefault="000A6D4F" w:rsidP="000A6D4F">
            <w:pPr>
              <w:jc w:val="both"/>
              <w:rPr>
                <w:sz w:val="22"/>
                <w:szCs w:val="22"/>
              </w:rPr>
            </w:pPr>
          </w:p>
          <w:p w14:paraId="0B4F78A3" w14:textId="77777777" w:rsidR="000A6D4F" w:rsidRPr="000F4391" w:rsidRDefault="000A6D4F" w:rsidP="000A6D4F">
            <w:pPr>
              <w:jc w:val="both"/>
              <w:rPr>
                <w:sz w:val="22"/>
                <w:szCs w:val="22"/>
              </w:rPr>
            </w:pPr>
            <w:r w:rsidRPr="000F4391">
              <w:rPr>
                <w:i/>
                <w:sz w:val="22"/>
                <w:szCs w:val="22"/>
              </w:rPr>
              <w:t>Direktīvas</w:t>
            </w:r>
            <w:r w:rsidRPr="000F4391">
              <w:rPr>
                <w:sz w:val="22"/>
                <w:szCs w:val="22"/>
              </w:rPr>
              <w:t xml:space="preserve"> </w:t>
            </w:r>
            <w:r w:rsidRPr="000F4391">
              <w:rPr>
                <w:i/>
                <w:sz w:val="22"/>
                <w:szCs w:val="22"/>
              </w:rPr>
              <w:t>Nr.</w:t>
            </w:r>
            <w:r w:rsidR="00B24CC2">
              <w:rPr>
                <w:i/>
                <w:sz w:val="22"/>
                <w:szCs w:val="22"/>
              </w:rPr>
              <w:t>2014/24/EK 72.pants</w:t>
            </w:r>
          </w:p>
          <w:p w14:paraId="02D3C2A9" w14:textId="77777777" w:rsidR="000A6D4F" w:rsidRDefault="000A6D4F" w:rsidP="000A6D4F">
            <w:pPr>
              <w:jc w:val="both"/>
              <w:rPr>
                <w:sz w:val="22"/>
                <w:szCs w:val="22"/>
                <w:highlight w:val="yellow"/>
              </w:rPr>
            </w:pPr>
          </w:p>
          <w:p w14:paraId="10DF7EC7" w14:textId="77777777" w:rsidR="00A2172D" w:rsidRPr="000F4391" w:rsidRDefault="00A2172D" w:rsidP="000A6D4F">
            <w:pPr>
              <w:jc w:val="both"/>
              <w:rPr>
                <w:sz w:val="22"/>
                <w:szCs w:val="22"/>
                <w:highlight w:val="yellow"/>
              </w:rPr>
            </w:pPr>
            <w:r w:rsidRPr="00A2172D">
              <w:rPr>
                <w:sz w:val="22"/>
                <w:szCs w:val="22"/>
              </w:rPr>
              <w:t>(EK 19.12.2013. vadlīniju  2.1.sadaļas 2</w:t>
            </w:r>
            <w:r>
              <w:rPr>
                <w:sz w:val="22"/>
                <w:szCs w:val="22"/>
              </w:rPr>
              <w:t>5</w:t>
            </w:r>
            <w:r w:rsidRPr="00A2172D">
              <w:rPr>
                <w:sz w:val="22"/>
                <w:szCs w:val="22"/>
              </w:rPr>
              <w:t>.punkts)</w:t>
            </w:r>
          </w:p>
        </w:tc>
        <w:tc>
          <w:tcPr>
            <w:tcW w:w="2082" w:type="pct"/>
            <w:gridSpan w:val="2"/>
            <w:tcBorders>
              <w:bottom w:val="single" w:sz="4" w:space="0" w:color="auto"/>
            </w:tcBorders>
          </w:tcPr>
          <w:p w14:paraId="690F404E" w14:textId="77777777" w:rsidR="000A6D4F" w:rsidRPr="00EB0AE4" w:rsidRDefault="000A6D4F" w:rsidP="000A6D4F">
            <w:pPr>
              <w:jc w:val="both"/>
              <w:rPr>
                <w:rFonts w:ascii="TimesNewRoman" w:eastAsia="Calibri" w:hAnsi="TimesNewRoman" w:cs="TimesNewRoman"/>
                <w:sz w:val="22"/>
                <w:szCs w:val="22"/>
                <w:lang w:eastAsia="en-US"/>
              </w:rPr>
            </w:pPr>
            <w:r w:rsidRPr="000F4391">
              <w:rPr>
                <w:sz w:val="22"/>
                <w:szCs w:val="22"/>
              </w:rPr>
              <w:t xml:space="preserve">Galvenā līguma slēgšanas tiesības ir piešķirtas, ievērojot </w:t>
            </w:r>
            <w:r w:rsidR="00DB6BB6">
              <w:rPr>
                <w:sz w:val="22"/>
                <w:szCs w:val="22"/>
              </w:rPr>
              <w:t>ES</w:t>
            </w:r>
            <w:r w:rsidR="00DB6BB6" w:rsidRPr="000F4391">
              <w:rPr>
                <w:sz w:val="22"/>
                <w:szCs w:val="22"/>
              </w:rPr>
              <w:t xml:space="preserve"> </w:t>
            </w:r>
            <w:r w:rsidRPr="000F4391">
              <w:rPr>
                <w:sz w:val="22"/>
                <w:szCs w:val="22"/>
              </w:rPr>
              <w:t>direktīvu noteikumus, bet viena vai vairāku papildu līgumcena pārsniedz sākotnējo līgumcenu par vairāk nekā 50%</w:t>
            </w:r>
            <w:r w:rsidRPr="00EB0AE4">
              <w:rPr>
                <w:rFonts w:ascii="TimesNewRoman" w:eastAsia="Calibri" w:hAnsi="TimesNewRoman" w:cs="TimesNewRoman"/>
                <w:sz w:val="22"/>
                <w:szCs w:val="22"/>
                <w:lang w:eastAsia="en-US"/>
              </w:rPr>
              <w:t>.</w:t>
            </w:r>
          </w:p>
          <w:p w14:paraId="0922E108" w14:textId="77777777" w:rsidR="00F129C1" w:rsidRPr="00F129C1" w:rsidRDefault="00F129C1" w:rsidP="00F129C1">
            <w:pPr>
              <w:jc w:val="both"/>
              <w:rPr>
                <w:sz w:val="22"/>
                <w:szCs w:val="22"/>
              </w:rPr>
            </w:pPr>
            <w:r w:rsidRPr="00EB0AE4">
              <w:rPr>
                <w:rFonts w:ascii="TimesNewRoman" w:eastAsia="Calibri" w:hAnsi="TimesNewRoman" w:cs="TimesNewRoman"/>
                <w:sz w:val="22"/>
                <w:szCs w:val="22"/>
                <w:lang w:eastAsia="en-US"/>
              </w:rPr>
              <w:t xml:space="preserve">Attiecas arī uz gadījumiem, kad </w:t>
            </w:r>
            <w:r w:rsidRPr="000F4391">
              <w:rPr>
                <w:sz w:val="22"/>
                <w:szCs w:val="22"/>
              </w:rPr>
              <w:t>līguma slēgšanas tiesības ir piešķirtas, ievērojot</w:t>
            </w:r>
            <w:r>
              <w:rPr>
                <w:sz w:val="22"/>
                <w:szCs w:val="22"/>
              </w:rPr>
              <w:t xml:space="preserve"> nacionālo aktu noteikumus, </w:t>
            </w:r>
            <w:r w:rsidRPr="000F4391">
              <w:rPr>
                <w:sz w:val="22"/>
                <w:szCs w:val="22"/>
              </w:rPr>
              <w:t xml:space="preserve">bet papildu līgumcena pārsniedz sākotnējo </w:t>
            </w:r>
            <w:r>
              <w:rPr>
                <w:sz w:val="22"/>
                <w:szCs w:val="22"/>
              </w:rPr>
              <w:t xml:space="preserve">nacionālajos </w:t>
            </w:r>
            <w:r w:rsidRPr="000F4391">
              <w:rPr>
                <w:sz w:val="22"/>
                <w:szCs w:val="22"/>
              </w:rPr>
              <w:t>noteikumos noteiktos limitus</w:t>
            </w:r>
            <w:r>
              <w:rPr>
                <w:sz w:val="22"/>
                <w:szCs w:val="22"/>
              </w:rPr>
              <w:t>.</w:t>
            </w:r>
          </w:p>
        </w:tc>
        <w:tc>
          <w:tcPr>
            <w:tcW w:w="916" w:type="pct"/>
            <w:tcBorders>
              <w:bottom w:val="single" w:sz="4" w:space="0" w:color="auto"/>
            </w:tcBorders>
          </w:tcPr>
          <w:p w14:paraId="1A1FAA94" w14:textId="77777777" w:rsidR="000A6D4F" w:rsidRPr="000F4391" w:rsidRDefault="000A6D4F" w:rsidP="000A6D4F">
            <w:pPr>
              <w:jc w:val="both"/>
              <w:rPr>
                <w:sz w:val="22"/>
                <w:szCs w:val="22"/>
              </w:rPr>
            </w:pPr>
            <w:r w:rsidRPr="000F4391">
              <w:rPr>
                <w:sz w:val="22"/>
                <w:szCs w:val="22"/>
              </w:rPr>
              <w:t xml:space="preserve">100% no apjoma, kas pārsniedz </w:t>
            </w:r>
            <w:r w:rsidR="00F129C1" w:rsidRPr="00F129C1">
              <w:rPr>
                <w:sz w:val="22"/>
                <w:szCs w:val="22"/>
              </w:rPr>
              <w:t>attiecīgajos noteikumos noteiktos limitus</w:t>
            </w:r>
            <w:r w:rsidRPr="000F4391">
              <w:rPr>
                <w:sz w:val="22"/>
                <w:szCs w:val="22"/>
              </w:rPr>
              <w:t xml:space="preserve"> no līguma sākotnējās vērtības</w:t>
            </w:r>
          </w:p>
        </w:tc>
      </w:tr>
      <w:tr w:rsidR="000A6D4F" w:rsidRPr="009D07C7" w14:paraId="0ED40FFC" w14:textId="77777777" w:rsidTr="00563EE9">
        <w:tc>
          <w:tcPr>
            <w:tcW w:w="5000" w:type="pct"/>
            <w:gridSpan w:val="5"/>
            <w:shd w:val="clear" w:color="auto" w:fill="C0C0C0"/>
          </w:tcPr>
          <w:p w14:paraId="5ED0E452" w14:textId="77777777" w:rsidR="000A6D4F" w:rsidRPr="002679E5" w:rsidRDefault="000A6D4F" w:rsidP="00E65D59">
            <w:pPr>
              <w:jc w:val="center"/>
              <w:rPr>
                <w:b/>
                <w:sz w:val="22"/>
                <w:szCs w:val="22"/>
              </w:rPr>
            </w:pPr>
            <w:r w:rsidRPr="002679E5">
              <w:rPr>
                <w:b/>
                <w:sz w:val="22"/>
                <w:szCs w:val="22"/>
              </w:rPr>
              <w:t>Maksājuma pieprasījuma līmenis</w:t>
            </w:r>
          </w:p>
        </w:tc>
      </w:tr>
      <w:tr w:rsidR="000A6D4F" w:rsidRPr="009D07C7" w14:paraId="4EDCF1F9" w14:textId="77777777" w:rsidTr="00563EE9">
        <w:tc>
          <w:tcPr>
            <w:tcW w:w="276" w:type="pct"/>
          </w:tcPr>
          <w:p w14:paraId="7875E320" w14:textId="77777777" w:rsidR="000A6D4F" w:rsidRPr="009D07C7" w:rsidRDefault="000A6D4F" w:rsidP="00E65D59">
            <w:pPr>
              <w:numPr>
                <w:ilvl w:val="0"/>
                <w:numId w:val="1"/>
              </w:numPr>
              <w:rPr>
                <w:sz w:val="22"/>
                <w:szCs w:val="22"/>
              </w:rPr>
            </w:pPr>
          </w:p>
        </w:tc>
        <w:tc>
          <w:tcPr>
            <w:tcW w:w="1726" w:type="pct"/>
          </w:tcPr>
          <w:p w14:paraId="5D9745BF" w14:textId="77777777" w:rsidR="000A6D4F" w:rsidRPr="002679E5" w:rsidRDefault="000A6D4F" w:rsidP="00E65D59">
            <w:pPr>
              <w:rPr>
                <w:sz w:val="22"/>
                <w:szCs w:val="22"/>
                <w:u w:val="single"/>
              </w:rPr>
            </w:pPr>
            <w:r w:rsidRPr="002679E5">
              <w:rPr>
                <w:sz w:val="22"/>
                <w:szCs w:val="22"/>
                <w:u w:val="single"/>
              </w:rPr>
              <w:t>Vienkāršotās izmaksas</w:t>
            </w:r>
          </w:p>
          <w:p w14:paraId="0F5BABCC" w14:textId="77777777" w:rsidR="000A6D4F" w:rsidRPr="007B7F8D" w:rsidRDefault="000A6D4F" w:rsidP="00E65D59">
            <w:pPr>
              <w:jc w:val="both"/>
              <w:rPr>
                <w:sz w:val="22"/>
                <w:szCs w:val="22"/>
              </w:rPr>
            </w:pPr>
            <w:r w:rsidRPr="007B7F8D">
              <w:rPr>
                <w:sz w:val="22"/>
                <w:szCs w:val="22"/>
              </w:rPr>
              <w:t xml:space="preserve">a) Attiecībā uz </w:t>
            </w:r>
            <w:r w:rsidR="008125F7">
              <w:rPr>
                <w:sz w:val="22"/>
                <w:szCs w:val="22"/>
                <w:u w:val="single"/>
              </w:rPr>
              <w:t>netiešo izmaksu</w:t>
            </w:r>
            <w:r w:rsidRPr="007B7F8D">
              <w:rPr>
                <w:sz w:val="22"/>
                <w:szCs w:val="22"/>
                <w:u w:val="single"/>
              </w:rPr>
              <w:t xml:space="preserve"> </w:t>
            </w:r>
            <w:r w:rsidR="00286F0A" w:rsidRPr="008125F7">
              <w:rPr>
                <w:sz w:val="22"/>
                <w:szCs w:val="22"/>
                <w:u w:val="single"/>
              </w:rPr>
              <w:t>vienot</w:t>
            </w:r>
            <w:r w:rsidR="00286F0A">
              <w:rPr>
                <w:sz w:val="22"/>
                <w:szCs w:val="22"/>
                <w:u w:val="single"/>
              </w:rPr>
              <w:t>o</w:t>
            </w:r>
            <w:r w:rsidR="00286F0A" w:rsidRPr="008125F7">
              <w:rPr>
                <w:sz w:val="22"/>
                <w:szCs w:val="22"/>
                <w:u w:val="single"/>
              </w:rPr>
              <w:t xml:space="preserve">s </w:t>
            </w:r>
            <w:r w:rsidRPr="007B7F8D">
              <w:rPr>
                <w:sz w:val="22"/>
                <w:szCs w:val="22"/>
                <w:u w:val="single"/>
              </w:rPr>
              <w:t>likmi</w:t>
            </w:r>
            <w:r w:rsidRPr="007B7F8D">
              <w:rPr>
                <w:sz w:val="22"/>
                <w:szCs w:val="22"/>
              </w:rPr>
              <w:t xml:space="preserve"> atbilstoši Eiropas Parlamenta un Padomes regulas (EK) Nr.</w:t>
            </w:r>
            <w:r w:rsidR="006A0092">
              <w:rPr>
                <w:sz w:val="22"/>
                <w:szCs w:val="22"/>
              </w:rPr>
              <w:t>1303</w:t>
            </w:r>
            <w:r w:rsidRPr="007B7F8D">
              <w:rPr>
                <w:sz w:val="22"/>
                <w:szCs w:val="22"/>
              </w:rPr>
              <w:t>/20</w:t>
            </w:r>
            <w:r w:rsidR="006A0092">
              <w:rPr>
                <w:sz w:val="22"/>
                <w:szCs w:val="22"/>
              </w:rPr>
              <w:t>13</w:t>
            </w:r>
            <w:r w:rsidR="008125F7">
              <w:rPr>
                <w:sz w:val="22"/>
                <w:szCs w:val="22"/>
              </w:rPr>
              <w:t xml:space="preserve"> 68.pantam,</w:t>
            </w:r>
            <w:r w:rsidR="00EE6598">
              <w:t xml:space="preserve"> </w:t>
            </w:r>
            <w:r w:rsidR="00EE6598" w:rsidRPr="00EE6598">
              <w:rPr>
                <w:sz w:val="22"/>
                <w:szCs w:val="22"/>
              </w:rPr>
              <w:t xml:space="preserve">Eiropas Parlamenta un </w:t>
            </w:r>
            <w:r w:rsidR="00EE6598" w:rsidRPr="00EE6598">
              <w:rPr>
                <w:sz w:val="22"/>
                <w:szCs w:val="22"/>
              </w:rPr>
              <w:lastRenderedPageBreak/>
              <w:t>Padomes regulai (EK) 1304/2013</w:t>
            </w:r>
            <w:r w:rsidR="00EE6598">
              <w:rPr>
                <w:sz w:val="22"/>
                <w:szCs w:val="22"/>
              </w:rPr>
              <w:t>,</w:t>
            </w:r>
            <w:r w:rsidR="008125F7">
              <w:rPr>
                <w:sz w:val="22"/>
                <w:szCs w:val="22"/>
              </w:rPr>
              <w:t xml:space="preserve"> </w:t>
            </w:r>
            <w:r w:rsidRPr="007B7F8D">
              <w:rPr>
                <w:sz w:val="22"/>
                <w:szCs w:val="22"/>
              </w:rPr>
              <w:t>ja projekta ieviešanā tiek konstatēta neatbilstība, par attiecīgo procentuālo samazinājumu projekta tiešajās izmaksās tiek samazināta arī netiešo izmaksu attiecināmā summa</w:t>
            </w:r>
            <w:r w:rsidR="008125F7">
              <w:rPr>
                <w:sz w:val="22"/>
                <w:szCs w:val="22"/>
              </w:rPr>
              <w:t>, vadošās iestādes m</w:t>
            </w:r>
            <w:r w:rsidR="008125F7" w:rsidRPr="008125F7">
              <w:rPr>
                <w:sz w:val="22"/>
                <w:szCs w:val="22"/>
              </w:rPr>
              <w:t>etodika</w:t>
            </w:r>
            <w:r w:rsidR="008125F7">
              <w:rPr>
                <w:sz w:val="22"/>
                <w:szCs w:val="22"/>
              </w:rPr>
              <w:t>i</w:t>
            </w:r>
            <w:r w:rsidR="008125F7" w:rsidRPr="008125F7">
              <w:rPr>
                <w:sz w:val="22"/>
                <w:szCs w:val="22"/>
              </w:rPr>
              <w:t xml:space="preserve"> par netiešo izmaksu vienotās likmes piemērošanu projekta izmaksu atzīšanā 2014.-2020.gada plānošanas periodā</w:t>
            </w:r>
            <w:r w:rsidRPr="007B7F8D">
              <w:rPr>
                <w:sz w:val="22"/>
                <w:szCs w:val="22"/>
              </w:rPr>
              <w:t>.</w:t>
            </w:r>
          </w:p>
          <w:p w14:paraId="4ADA6ACE" w14:textId="77777777" w:rsidR="000A6D4F" w:rsidRDefault="000A6D4F" w:rsidP="00E65D59">
            <w:pPr>
              <w:jc w:val="both"/>
              <w:rPr>
                <w:sz w:val="22"/>
                <w:szCs w:val="22"/>
              </w:rPr>
            </w:pPr>
          </w:p>
          <w:p w14:paraId="3840356E" w14:textId="77777777" w:rsidR="008125F7" w:rsidRPr="007B7F8D" w:rsidRDefault="008125F7" w:rsidP="00E65D59">
            <w:pPr>
              <w:jc w:val="both"/>
              <w:rPr>
                <w:sz w:val="22"/>
                <w:szCs w:val="22"/>
              </w:rPr>
            </w:pPr>
          </w:p>
          <w:p w14:paraId="124E9993" w14:textId="4A05B0D6" w:rsidR="000A6D4F" w:rsidRPr="007B7F8D" w:rsidRDefault="000A6D4F" w:rsidP="00E65D59">
            <w:pPr>
              <w:pStyle w:val="Default"/>
              <w:jc w:val="both"/>
              <w:rPr>
                <w:rFonts w:ascii="Times New Roman" w:hAnsi="Times New Roman" w:cs="Times New Roman"/>
                <w:sz w:val="22"/>
                <w:szCs w:val="22"/>
              </w:rPr>
            </w:pPr>
            <w:r w:rsidRPr="007B7F8D">
              <w:rPr>
                <w:sz w:val="22"/>
                <w:szCs w:val="22"/>
              </w:rPr>
              <w:t xml:space="preserve">b) </w:t>
            </w:r>
            <w:r w:rsidR="008125F7">
              <w:rPr>
                <w:rFonts w:ascii="Times New Roman" w:hAnsi="Times New Roman" w:cs="Times New Roman"/>
                <w:color w:val="auto"/>
                <w:sz w:val="22"/>
                <w:szCs w:val="22"/>
                <w:u w:val="single"/>
              </w:rPr>
              <w:t>V</w:t>
            </w:r>
            <w:r w:rsidR="008125F7" w:rsidRPr="008125F7">
              <w:rPr>
                <w:rFonts w:ascii="Times New Roman" w:hAnsi="Times New Roman" w:cs="Times New Roman"/>
                <w:color w:val="auto"/>
                <w:sz w:val="22"/>
                <w:szCs w:val="22"/>
                <w:u w:val="single"/>
              </w:rPr>
              <w:t xml:space="preserve">ienreizējā maksājuma </w:t>
            </w:r>
            <w:r w:rsidRPr="007B7F8D">
              <w:rPr>
                <w:rFonts w:ascii="Times New Roman" w:hAnsi="Times New Roman" w:cs="Times New Roman"/>
                <w:color w:val="auto"/>
                <w:sz w:val="22"/>
                <w:szCs w:val="22"/>
                <w:u w:val="single"/>
              </w:rPr>
              <w:t>gadījums</w:t>
            </w:r>
            <w:r w:rsidRPr="007B7F8D">
              <w:rPr>
                <w:rFonts w:ascii="Times New Roman" w:hAnsi="Times New Roman" w:cs="Times New Roman"/>
                <w:color w:val="auto"/>
                <w:sz w:val="22"/>
                <w:szCs w:val="22"/>
              </w:rPr>
              <w:t>, kas piemērots atbilstoši Eiropas Parlamenta un Padomes regul</w:t>
            </w:r>
            <w:r w:rsidR="008125F7">
              <w:rPr>
                <w:rFonts w:ascii="Times New Roman" w:hAnsi="Times New Roman" w:cs="Times New Roman"/>
                <w:color w:val="auto"/>
                <w:sz w:val="22"/>
                <w:szCs w:val="22"/>
              </w:rPr>
              <w:t>ai</w:t>
            </w:r>
            <w:r w:rsidRPr="007B7F8D">
              <w:rPr>
                <w:rFonts w:ascii="Times New Roman" w:hAnsi="Times New Roman" w:cs="Times New Roman"/>
                <w:color w:val="auto"/>
                <w:sz w:val="22"/>
                <w:szCs w:val="22"/>
              </w:rPr>
              <w:t xml:space="preserve"> (EK) </w:t>
            </w:r>
            <w:r w:rsidR="008125F7" w:rsidRPr="008125F7">
              <w:rPr>
                <w:rFonts w:ascii="Times New Roman" w:hAnsi="Times New Roman" w:cs="Times New Roman"/>
                <w:color w:val="auto"/>
                <w:sz w:val="22"/>
                <w:szCs w:val="22"/>
              </w:rPr>
              <w:t>1304/2013</w:t>
            </w:r>
            <w:r w:rsidR="008125F7">
              <w:rPr>
                <w:rFonts w:ascii="Times New Roman" w:hAnsi="Times New Roman" w:cs="Times New Roman"/>
                <w:color w:val="auto"/>
                <w:sz w:val="22"/>
                <w:szCs w:val="22"/>
              </w:rPr>
              <w:t xml:space="preserve">, </w:t>
            </w:r>
            <w:r w:rsidR="00EE6598" w:rsidRPr="00EE6598">
              <w:rPr>
                <w:rFonts w:ascii="Times New Roman" w:hAnsi="Times New Roman" w:cs="Times New Roman"/>
                <w:color w:val="auto"/>
                <w:sz w:val="22"/>
                <w:szCs w:val="22"/>
              </w:rPr>
              <w:t xml:space="preserve">Eiropas Parlamenta un Padomes regulai (EK) </w:t>
            </w:r>
            <w:r w:rsidR="00EE6598">
              <w:rPr>
                <w:rFonts w:ascii="Times New Roman" w:hAnsi="Times New Roman" w:cs="Times New Roman"/>
                <w:color w:val="auto"/>
                <w:sz w:val="22"/>
                <w:szCs w:val="22"/>
              </w:rPr>
              <w:t xml:space="preserve">Nr.1303/2013, </w:t>
            </w:r>
            <w:r w:rsidR="008125F7" w:rsidRPr="008125F7">
              <w:rPr>
                <w:rFonts w:ascii="Times New Roman" w:hAnsi="Times New Roman" w:cs="Times New Roman"/>
                <w:color w:val="auto"/>
                <w:sz w:val="22"/>
                <w:szCs w:val="22"/>
              </w:rPr>
              <w:t>Eiropas Komisij</w:t>
            </w:r>
            <w:r w:rsidR="008125F7">
              <w:rPr>
                <w:rFonts w:ascii="Times New Roman" w:hAnsi="Times New Roman" w:cs="Times New Roman"/>
                <w:color w:val="auto"/>
                <w:sz w:val="22"/>
                <w:szCs w:val="22"/>
              </w:rPr>
              <w:t>as 2014.gada septembra vadlīnijām</w:t>
            </w:r>
            <w:r w:rsidR="008125F7" w:rsidRPr="008125F7">
              <w:rPr>
                <w:rFonts w:ascii="Times New Roman" w:hAnsi="Times New Roman" w:cs="Times New Roman"/>
                <w:color w:val="auto"/>
                <w:sz w:val="22"/>
                <w:szCs w:val="22"/>
              </w:rPr>
              <w:t xml:space="preserve"> par vienkāršotajām izmaksām „</w:t>
            </w:r>
            <w:r w:rsidR="008125F7" w:rsidRPr="00F55E89">
              <w:rPr>
                <w:rFonts w:ascii="Times New Roman" w:hAnsi="Times New Roman" w:cs="Times New Roman"/>
                <w:i/>
                <w:color w:val="auto"/>
                <w:sz w:val="22"/>
                <w:szCs w:val="22"/>
              </w:rPr>
              <w:t>Guidance on Simplified Cost Options (SCOs)</w:t>
            </w:r>
            <w:r w:rsidR="00F55E89">
              <w:rPr>
                <w:rFonts w:ascii="Times New Roman" w:hAnsi="Times New Roman" w:cs="Times New Roman"/>
                <w:color w:val="auto"/>
                <w:sz w:val="22"/>
                <w:szCs w:val="22"/>
              </w:rPr>
              <w:t>”</w:t>
            </w:r>
            <w:r w:rsidR="008125F7">
              <w:rPr>
                <w:rFonts w:ascii="Times New Roman" w:hAnsi="Times New Roman" w:cs="Times New Roman"/>
                <w:color w:val="auto"/>
                <w:sz w:val="22"/>
                <w:szCs w:val="22"/>
              </w:rPr>
              <w:t xml:space="preserve"> un vadošās iestādes metodikai </w:t>
            </w:r>
            <w:r w:rsidR="008125F7" w:rsidRPr="008125F7">
              <w:rPr>
                <w:rFonts w:ascii="Times New Roman" w:hAnsi="Times New Roman" w:cs="Times New Roman"/>
                <w:color w:val="auto"/>
                <w:sz w:val="22"/>
                <w:szCs w:val="22"/>
              </w:rPr>
              <w:t>par vienreizējā maksājuma piemērošanu 2014.-2020.gada plānošanas periodā</w:t>
            </w:r>
          </w:p>
          <w:p w14:paraId="6C66635B" w14:textId="77777777" w:rsidR="000A6D4F" w:rsidRPr="007B7F8D" w:rsidRDefault="000A6D4F" w:rsidP="00E65D59">
            <w:pPr>
              <w:pStyle w:val="Default"/>
              <w:jc w:val="both"/>
              <w:rPr>
                <w:rFonts w:ascii="Times New Roman" w:hAnsi="Times New Roman" w:cs="Times New Roman"/>
                <w:sz w:val="22"/>
                <w:szCs w:val="22"/>
              </w:rPr>
            </w:pPr>
          </w:p>
          <w:p w14:paraId="2EFE9AC9" w14:textId="77777777" w:rsidR="000A6D4F" w:rsidRPr="007B7F8D" w:rsidRDefault="000A6D4F" w:rsidP="00E65D59">
            <w:pPr>
              <w:pStyle w:val="Default"/>
              <w:jc w:val="both"/>
              <w:rPr>
                <w:rFonts w:ascii="Times New Roman" w:hAnsi="Times New Roman" w:cs="Times New Roman"/>
                <w:sz w:val="22"/>
                <w:szCs w:val="22"/>
              </w:rPr>
            </w:pPr>
          </w:p>
          <w:p w14:paraId="7884ED41" w14:textId="77777777" w:rsidR="000A6D4F" w:rsidRPr="007B7F8D" w:rsidRDefault="000A6D4F" w:rsidP="00E65D59">
            <w:pPr>
              <w:pStyle w:val="Default"/>
              <w:jc w:val="both"/>
              <w:rPr>
                <w:rFonts w:ascii="Times New Roman" w:hAnsi="Times New Roman" w:cs="Times New Roman"/>
                <w:sz w:val="22"/>
                <w:szCs w:val="22"/>
              </w:rPr>
            </w:pPr>
          </w:p>
          <w:p w14:paraId="1E8EC775" w14:textId="77777777" w:rsidR="000A6D4F" w:rsidRPr="007B7F8D" w:rsidRDefault="000A6D4F" w:rsidP="00E65D59">
            <w:pPr>
              <w:pStyle w:val="Default"/>
              <w:jc w:val="both"/>
              <w:rPr>
                <w:rFonts w:ascii="Times New Roman" w:hAnsi="Times New Roman" w:cs="Times New Roman"/>
                <w:sz w:val="22"/>
                <w:szCs w:val="22"/>
              </w:rPr>
            </w:pPr>
          </w:p>
          <w:p w14:paraId="66869C42" w14:textId="77777777" w:rsidR="000A6D4F" w:rsidRPr="007B7F8D" w:rsidRDefault="000A6D4F" w:rsidP="00E65D59">
            <w:pPr>
              <w:pStyle w:val="Default"/>
              <w:jc w:val="both"/>
              <w:rPr>
                <w:rFonts w:ascii="Times New Roman" w:hAnsi="Times New Roman" w:cs="Times New Roman"/>
                <w:sz w:val="22"/>
                <w:szCs w:val="22"/>
              </w:rPr>
            </w:pPr>
          </w:p>
          <w:p w14:paraId="55257820" w14:textId="77777777" w:rsidR="000A6D4F" w:rsidRPr="007B7F8D" w:rsidRDefault="000A6D4F" w:rsidP="00E65D59">
            <w:pPr>
              <w:pStyle w:val="Default"/>
              <w:jc w:val="both"/>
              <w:rPr>
                <w:rFonts w:ascii="Times New Roman" w:hAnsi="Times New Roman" w:cs="Times New Roman"/>
                <w:sz w:val="22"/>
                <w:szCs w:val="22"/>
              </w:rPr>
            </w:pPr>
          </w:p>
          <w:p w14:paraId="197E4FE6" w14:textId="596D36CB" w:rsidR="000A6D4F" w:rsidRPr="007B7F8D" w:rsidRDefault="008125F7" w:rsidP="008125F7">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c)</w:t>
            </w:r>
            <w:r w:rsidR="000A6D4F" w:rsidRPr="007B7F8D">
              <w:rPr>
                <w:rFonts w:ascii="Times New Roman" w:hAnsi="Times New Roman" w:cs="Times New Roman"/>
                <w:color w:val="auto"/>
                <w:sz w:val="22"/>
                <w:szCs w:val="22"/>
              </w:rPr>
              <w:t xml:space="preserve">Attiecībā uz vienkāršoto izmaksu veidu – </w:t>
            </w:r>
            <w:r w:rsidR="000A6D4F" w:rsidRPr="007B7F8D">
              <w:rPr>
                <w:rFonts w:ascii="Times New Roman" w:hAnsi="Times New Roman" w:cs="Times New Roman"/>
                <w:color w:val="auto"/>
                <w:sz w:val="22"/>
                <w:szCs w:val="22"/>
                <w:u w:val="single"/>
              </w:rPr>
              <w:t>vienas vienības izmaksa</w:t>
            </w:r>
            <w:r w:rsidR="000A6D4F" w:rsidRPr="007B7F8D">
              <w:rPr>
                <w:rFonts w:ascii="Times New Roman" w:hAnsi="Times New Roman" w:cs="Times New Roman"/>
                <w:color w:val="auto"/>
                <w:sz w:val="22"/>
                <w:szCs w:val="22"/>
              </w:rPr>
              <w:t>s - atbilstoši Eiropas Parlamenta un Padomes regulas (EK) Nr.</w:t>
            </w:r>
            <w:r w:rsidR="00EE6598">
              <w:rPr>
                <w:rFonts w:ascii="Times New Roman" w:hAnsi="Times New Roman" w:cs="Times New Roman"/>
                <w:color w:val="auto"/>
                <w:sz w:val="22"/>
                <w:szCs w:val="22"/>
              </w:rPr>
              <w:t xml:space="preserve">1303/2013, </w:t>
            </w:r>
            <w:r w:rsidR="00EE6598" w:rsidRPr="00EE6598">
              <w:rPr>
                <w:rFonts w:ascii="Times New Roman" w:hAnsi="Times New Roman" w:cs="Times New Roman"/>
                <w:color w:val="auto"/>
                <w:sz w:val="22"/>
                <w:szCs w:val="22"/>
              </w:rPr>
              <w:t>Eiropas Parlamenta un Padomes regulai (EK) 1304/2013</w:t>
            </w:r>
            <w:r w:rsidR="00EE6598">
              <w:rPr>
                <w:rFonts w:ascii="Times New Roman" w:hAnsi="Times New Roman" w:cs="Times New Roman"/>
                <w:color w:val="auto"/>
                <w:sz w:val="22"/>
                <w:szCs w:val="22"/>
              </w:rPr>
              <w:t>,</w:t>
            </w:r>
            <w:r w:rsidR="00EE6598">
              <w:t xml:space="preserve"> </w:t>
            </w:r>
            <w:r w:rsidR="00EE6598" w:rsidRPr="00EE6598">
              <w:rPr>
                <w:rFonts w:ascii="Times New Roman" w:hAnsi="Times New Roman" w:cs="Times New Roman"/>
                <w:color w:val="auto"/>
                <w:sz w:val="22"/>
                <w:szCs w:val="22"/>
              </w:rPr>
              <w:t>Eiropas Komisijas 2014.gada septembra vadlīnijām par vienkāršotajām izmaksām „</w:t>
            </w:r>
            <w:r w:rsidR="00EE6598" w:rsidRPr="00F55E89">
              <w:rPr>
                <w:rFonts w:ascii="Times New Roman" w:hAnsi="Times New Roman" w:cs="Times New Roman"/>
                <w:i/>
                <w:color w:val="auto"/>
                <w:sz w:val="22"/>
                <w:szCs w:val="22"/>
              </w:rPr>
              <w:t>Guidance on Simplified Cost Options (SCOs)</w:t>
            </w:r>
            <w:r w:rsidR="00F55E89">
              <w:rPr>
                <w:rFonts w:ascii="Times New Roman" w:hAnsi="Times New Roman" w:cs="Times New Roman"/>
                <w:color w:val="auto"/>
                <w:sz w:val="22"/>
                <w:szCs w:val="22"/>
              </w:rPr>
              <w:t>”</w:t>
            </w:r>
            <w:r w:rsidR="00EE6598" w:rsidRPr="00EE6598">
              <w:rPr>
                <w:rFonts w:ascii="Times New Roman" w:hAnsi="Times New Roman" w:cs="Times New Roman"/>
                <w:color w:val="auto"/>
                <w:sz w:val="22"/>
                <w:szCs w:val="22"/>
              </w:rPr>
              <w:t xml:space="preserve"> </w:t>
            </w:r>
            <w:r w:rsidR="00EE6598">
              <w:rPr>
                <w:rFonts w:ascii="Times New Roman" w:hAnsi="Times New Roman" w:cs="Times New Roman"/>
                <w:color w:val="auto"/>
                <w:sz w:val="22"/>
                <w:szCs w:val="22"/>
              </w:rPr>
              <w:t>un vadošās iestādes m</w:t>
            </w:r>
            <w:r w:rsidR="00EE6598" w:rsidRPr="00EE6598">
              <w:rPr>
                <w:rFonts w:ascii="Times New Roman" w:hAnsi="Times New Roman" w:cs="Times New Roman"/>
                <w:color w:val="auto"/>
                <w:sz w:val="22"/>
                <w:szCs w:val="22"/>
              </w:rPr>
              <w:t>etodika par vienības izmaksas standarta likmes piemērošanu 2014.-2020.gada plānošanas periodā</w:t>
            </w:r>
            <w:r w:rsidR="000A6D4F" w:rsidRPr="007B7F8D">
              <w:rPr>
                <w:rFonts w:ascii="Times New Roman" w:hAnsi="Times New Roman" w:cs="Times New Roman"/>
                <w:color w:val="auto"/>
                <w:sz w:val="22"/>
                <w:szCs w:val="22"/>
              </w:rPr>
              <w:t>, finanšu korekcija tiek piemērota proporcionāli izpildei.</w:t>
            </w:r>
          </w:p>
          <w:p w14:paraId="1DCBF017" w14:textId="77777777" w:rsidR="000A6D4F" w:rsidRPr="007B7F8D" w:rsidRDefault="000A6D4F" w:rsidP="00E65D59">
            <w:pPr>
              <w:pStyle w:val="Default"/>
              <w:jc w:val="both"/>
              <w:rPr>
                <w:rFonts w:ascii="Times New Roman" w:hAnsi="Times New Roman" w:cs="Times New Roman"/>
                <w:color w:val="auto"/>
                <w:sz w:val="22"/>
                <w:szCs w:val="22"/>
              </w:rPr>
            </w:pPr>
          </w:p>
          <w:p w14:paraId="33C66B69" w14:textId="77777777" w:rsidR="000A6D4F" w:rsidRPr="007B7F8D" w:rsidRDefault="000A6D4F" w:rsidP="00E65D59">
            <w:pPr>
              <w:pStyle w:val="Default"/>
              <w:jc w:val="both"/>
              <w:rPr>
                <w:rFonts w:ascii="Times New Roman" w:hAnsi="Times New Roman" w:cs="Times New Roman"/>
                <w:color w:val="auto"/>
                <w:sz w:val="22"/>
                <w:szCs w:val="22"/>
              </w:rPr>
            </w:pPr>
          </w:p>
          <w:p w14:paraId="5E1378CE" w14:textId="77777777" w:rsidR="000A6D4F" w:rsidRPr="007B7F8D" w:rsidRDefault="000A6D4F" w:rsidP="00E65D59">
            <w:pPr>
              <w:jc w:val="both"/>
              <w:rPr>
                <w:sz w:val="22"/>
                <w:szCs w:val="22"/>
              </w:rPr>
            </w:pPr>
          </w:p>
        </w:tc>
        <w:tc>
          <w:tcPr>
            <w:tcW w:w="2082" w:type="pct"/>
            <w:gridSpan w:val="2"/>
          </w:tcPr>
          <w:p w14:paraId="2C0E52A0" w14:textId="77777777" w:rsidR="000A6D4F" w:rsidRPr="007B7F8D" w:rsidRDefault="000A6D4F" w:rsidP="00E65D59">
            <w:pPr>
              <w:rPr>
                <w:sz w:val="22"/>
                <w:szCs w:val="22"/>
                <w:u w:val="single"/>
              </w:rPr>
            </w:pPr>
          </w:p>
          <w:p w14:paraId="3C848B28" w14:textId="77777777" w:rsidR="000A6D4F" w:rsidRPr="007B7F8D" w:rsidRDefault="000A6D4F" w:rsidP="00E65D59">
            <w:pPr>
              <w:rPr>
                <w:sz w:val="22"/>
                <w:szCs w:val="22"/>
                <w:u w:val="single"/>
              </w:rPr>
            </w:pPr>
          </w:p>
          <w:p w14:paraId="43DB5EDD" w14:textId="77777777" w:rsidR="000A6D4F" w:rsidRPr="007B7F8D" w:rsidRDefault="000A6D4F" w:rsidP="00E65D59">
            <w:pPr>
              <w:rPr>
                <w:sz w:val="22"/>
                <w:szCs w:val="22"/>
              </w:rPr>
            </w:pPr>
            <w:r w:rsidRPr="007B7F8D">
              <w:rPr>
                <w:sz w:val="22"/>
                <w:szCs w:val="22"/>
                <w:u w:val="single"/>
              </w:rPr>
              <w:t>a</w:t>
            </w:r>
            <w:r w:rsidRPr="007B7F8D">
              <w:rPr>
                <w:sz w:val="22"/>
                <w:szCs w:val="22"/>
              </w:rPr>
              <w:t xml:space="preserve">) Projekta ieviešanā tiek konstatēti neatbilstoši veikti izdevumi 2000 </w:t>
            </w:r>
            <w:r w:rsidR="00051AD6">
              <w:rPr>
                <w:sz w:val="22"/>
                <w:szCs w:val="22"/>
              </w:rPr>
              <w:t>EUR</w:t>
            </w:r>
            <w:r w:rsidRPr="007B7F8D">
              <w:rPr>
                <w:sz w:val="22"/>
                <w:szCs w:val="22"/>
              </w:rPr>
              <w:t xml:space="preserve"> apmērā. Projektā deklarēto tiešo attiecināmo izmaksu </w:t>
            </w:r>
            <w:r w:rsidRPr="007B7F8D">
              <w:rPr>
                <w:sz w:val="22"/>
                <w:szCs w:val="22"/>
              </w:rPr>
              <w:lastRenderedPageBreak/>
              <w:t xml:space="preserve">summa ir 100 000 </w:t>
            </w:r>
            <w:r w:rsidR="00051AD6">
              <w:rPr>
                <w:sz w:val="22"/>
                <w:szCs w:val="22"/>
              </w:rPr>
              <w:t>EUR</w:t>
            </w:r>
            <w:r w:rsidRPr="007B7F8D">
              <w:rPr>
                <w:sz w:val="22"/>
                <w:szCs w:val="22"/>
              </w:rPr>
              <w:t xml:space="preserve">, netiešajām izmaksām piemērojamā </w:t>
            </w:r>
            <w:r w:rsidR="008125F7">
              <w:rPr>
                <w:sz w:val="22"/>
                <w:szCs w:val="22"/>
              </w:rPr>
              <w:t>vienotā</w:t>
            </w:r>
            <w:r w:rsidRPr="007B7F8D">
              <w:rPr>
                <w:sz w:val="22"/>
                <w:szCs w:val="22"/>
              </w:rPr>
              <w:t xml:space="preserve"> likme ir 15% jeb 15 000 </w:t>
            </w:r>
            <w:r w:rsidR="00051AD6">
              <w:rPr>
                <w:sz w:val="22"/>
                <w:szCs w:val="22"/>
              </w:rPr>
              <w:t>EUR</w:t>
            </w:r>
            <w:r w:rsidRPr="007B7F8D">
              <w:rPr>
                <w:sz w:val="22"/>
                <w:szCs w:val="22"/>
              </w:rPr>
              <w:t>, ko finansējuma saņēmējs ir saņēmis par projekta netiešajām izmaksām.</w:t>
            </w:r>
          </w:p>
          <w:p w14:paraId="51D31C40" w14:textId="77777777" w:rsidR="000A6D4F" w:rsidRPr="007B7F8D" w:rsidRDefault="000A6D4F" w:rsidP="00E65D59">
            <w:pPr>
              <w:tabs>
                <w:tab w:val="left" w:pos="540"/>
              </w:tabs>
              <w:jc w:val="both"/>
              <w:rPr>
                <w:sz w:val="22"/>
                <w:szCs w:val="22"/>
              </w:rPr>
            </w:pPr>
            <w:r w:rsidRPr="007B7F8D">
              <w:rPr>
                <w:sz w:val="22"/>
                <w:szCs w:val="22"/>
              </w:rPr>
              <w:t>15% no 2000 =</w:t>
            </w:r>
            <w:r w:rsidR="00282385">
              <w:rPr>
                <w:sz w:val="22"/>
                <w:szCs w:val="22"/>
              </w:rPr>
              <w:t xml:space="preserve"> </w:t>
            </w:r>
            <w:r w:rsidR="00051AD6">
              <w:rPr>
                <w:sz w:val="22"/>
                <w:szCs w:val="22"/>
              </w:rPr>
              <w:t>EUR</w:t>
            </w:r>
            <w:r w:rsidRPr="007B7F8D">
              <w:rPr>
                <w:sz w:val="22"/>
                <w:szCs w:val="22"/>
              </w:rPr>
              <w:t xml:space="preserve"> 300.</w:t>
            </w:r>
          </w:p>
          <w:p w14:paraId="2AEFA688" w14:textId="77777777" w:rsidR="000A6D4F" w:rsidRPr="007B7F8D" w:rsidRDefault="000A6D4F" w:rsidP="00E65D59">
            <w:pPr>
              <w:pStyle w:val="Default"/>
              <w:jc w:val="both"/>
              <w:rPr>
                <w:rFonts w:ascii="Times New Roman" w:hAnsi="Times New Roman" w:cs="Times New Roman"/>
                <w:color w:val="auto"/>
                <w:sz w:val="22"/>
                <w:szCs w:val="22"/>
              </w:rPr>
            </w:pPr>
            <w:r w:rsidRPr="007B7F8D">
              <w:rPr>
                <w:rFonts w:ascii="Times New Roman" w:hAnsi="Times New Roman" w:cs="Times New Roman"/>
                <w:color w:val="auto"/>
                <w:sz w:val="22"/>
                <w:szCs w:val="22"/>
              </w:rPr>
              <w:t xml:space="preserve">2000 + 300 = </w:t>
            </w:r>
            <w:r w:rsidR="00051AD6">
              <w:rPr>
                <w:rFonts w:ascii="Times New Roman" w:hAnsi="Times New Roman" w:cs="Times New Roman"/>
                <w:color w:val="auto"/>
                <w:sz w:val="22"/>
                <w:szCs w:val="22"/>
              </w:rPr>
              <w:t>EUR</w:t>
            </w:r>
            <w:r w:rsidRPr="007B7F8D">
              <w:rPr>
                <w:rFonts w:ascii="Times New Roman" w:hAnsi="Times New Roman" w:cs="Times New Roman"/>
                <w:color w:val="auto"/>
                <w:sz w:val="22"/>
                <w:szCs w:val="22"/>
              </w:rPr>
              <w:t xml:space="preserve"> 2300 projektā neatbilstoši veiktie izdevumi.</w:t>
            </w:r>
          </w:p>
          <w:p w14:paraId="46D47CBB" w14:textId="77777777" w:rsidR="000A6D4F" w:rsidRPr="007B7F8D" w:rsidRDefault="000A6D4F" w:rsidP="00E65D59">
            <w:pPr>
              <w:pStyle w:val="Default"/>
              <w:jc w:val="both"/>
              <w:rPr>
                <w:rFonts w:ascii="Times New Roman" w:hAnsi="Times New Roman" w:cs="Times New Roman"/>
                <w:color w:val="auto"/>
                <w:sz w:val="22"/>
                <w:szCs w:val="22"/>
              </w:rPr>
            </w:pPr>
          </w:p>
          <w:p w14:paraId="60C1FD28" w14:textId="77777777" w:rsidR="000A6D4F" w:rsidRDefault="000A6D4F" w:rsidP="00E65D59">
            <w:pPr>
              <w:pStyle w:val="Default"/>
              <w:jc w:val="both"/>
              <w:rPr>
                <w:rFonts w:ascii="Times New Roman" w:hAnsi="Times New Roman" w:cs="Times New Roman"/>
                <w:color w:val="auto"/>
                <w:sz w:val="22"/>
                <w:szCs w:val="22"/>
              </w:rPr>
            </w:pPr>
          </w:p>
          <w:p w14:paraId="0D19BE9A" w14:textId="77777777" w:rsidR="000A6D4F" w:rsidRPr="007B7F8D" w:rsidRDefault="000A6D4F" w:rsidP="00E65D59">
            <w:pPr>
              <w:pStyle w:val="Default"/>
              <w:jc w:val="both"/>
              <w:rPr>
                <w:rFonts w:ascii="Times New Roman" w:hAnsi="Times New Roman" w:cs="Times New Roman"/>
                <w:color w:val="auto"/>
                <w:sz w:val="22"/>
                <w:szCs w:val="22"/>
              </w:rPr>
            </w:pPr>
          </w:p>
          <w:p w14:paraId="2FB1CFF8" w14:textId="77777777" w:rsidR="000A6D4F" w:rsidRPr="007B7F8D" w:rsidRDefault="000A6D4F" w:rsidP="00E65D59">
            <w:pPr>
              <w:pStyle w:val="Default"/>
              <w:jc w:val="both"/>
              <w:rPr>
                <w:rFonts w:ascii="Times New Roman" w:hAnsi="Times New Roman" w:cs="Times New Roman"/>
                <w:color w:val="auto"/>
                <w:sz w:val="22"/>
                <w:szCs w:val="22"/>
              </w:rPr>
            </w:pPr>
            <w:r w:rsidRPr="007B7F8D">
              <w:rPr>
                <w:rFonts w:ascii="Times New Roman" w:hAnsi="Times New Roman" w:cs="Times New Roman"/>
                <w:color w:val="auto"/>
                <w:sz w:val="22"/>
                <w:szCs w:val="22"/>
              </w:rPr>
              <w:t xml:space="preserve">b) </w:t>
            </w:r>
            <w:r w:rsidR="00286F0A">
              <w:rPr>
                <w:rFonts w:ascii="Times New Roman" w:hAnsi="Times New Roman" w:cs="Times New Roman"/>
                <w:color w:val="auto"/>
                <w:sz w:val="22"/>
                <w:szCs w:val="22"/>
              </w:rPr>
              <w:t>V</w:t>
            </w:r>
            <w:r w:rsidR="00286F0A" w:rsidRPr="008125F7">
              <w:rPr>
                <w:rFonts w:ascii="Times New Roman" w:hAnsi="Times New Roman" w:cs="Times New Roman"/>
                <w:color w:val="auto"/>
                <w:sz w:val="22"/>
                <w:szCs w:val="22"/>
              </w:rPr>
              <w:t>ienreizēj</w:t>
            </w:r>
            <w:r w:rsidR="00286F0A">
              <w:rPr>
                <w:rFonts w:ascii="Times New Roman" w:hAnsi="Times New Roman" w:cs="Times New Roman"/>
                <w:color w:val="auto"/>
                <w:sz w:val="22"/>
                <w:szCs w:val="22"/>
              </w:rPr>
              <w:t>ais</w:t>
            </w:r>
            <w:r w:rsidR="00286F0A" w:rsidRPr="008125F7">
              <w:rPr>
                <w:rFonts w:ascii="Times New Roman" w:hAnsi="Times New Roman" w:cs="Times New Roman"/>
                <w:color w:val="auto"/>
                <w:sz w:val="22"/>
                <w:szCs w:val="22"/>
              </w:rPr>
              <w:t xml:space="preserve"> </w:t>
            </w:r>
            <w:r w:rsidR="008125F7" w:rsidRPr="008125F7">
              <w:rPr>
                <w:rFonts w:ascii="Times New Roman" w:hAnsi="Times New Roman" w:cs="Times New Roman"/>
                <w:color w:val="auto"/>
                <w:sz w:val="22"/>
                <w:szCs w:val="22"/>
              </w:rPr>
              <w:t>maksājum</w:t>
            </w:r>
            <w:r w:rsidR="008125F7">
              <w:rPr>
                <w:rFonts w:ascii="Times New Roman" w:hAnsi="Times New Roman" w:cs="Times New Roman"/>
                <w:color w:val="auto"/>
                <w:sz w:val="22"/>
                <w:szCs w:val="22"/>
              </w:rPr>
              <w:t>s</w:t>
            </w:r>
            <w:r w:rsidR="008125F7" w:rsidRPr="008125F7">
              <w:rPr>
                <w:rFonts w:ascii="Times New Roman" w:hAnsi="Times New Roman" w:cs="Times New Roman"/>
                <w:color w:val="auto"/>
                <w:sz w:val="22"/>
                <w:szCs w:val="22"/>
              </w:rPr>
              <w:t xml:space="preserve"> </w:t>
            </w:r>
            <w:r w:rsidRPr="007B7F8D">
              <w:rPr>
                <w:rFonts w:ascii="Times New Roman" w:hAnsi="Times New Roman" w:cs="Times New Roman"/>
                <w:color w:val="auto"/>
                <w:sz w:val="22"/>
                <w:szCs w:val="22"/>
              </w:rPr>
              <w:t xml:space="preserve">“Semināra organizēšana” sastāv no projekta ietvaros organizēta semināra telpu īres izmaksām, semināram nepieciešamo </w:t>
            </w:r>
            <w:r w:rsidR="00286F0A" w:rsidRPr="007B7F8D">
              <w:rPr>
                <w:rFonts w:ascii="Times New Roman" w:hAnsi="Times New Roman" w:cs="Times New Roman"/>
                <w:color w:val="auto"/>
                <w:sz w:val="22"/>
                <w:szCs w:val="22"/>
              </w:rPr>
              <w:t>materiāl</w:t>
            </w:r>
            <w:r w:rsidR="00286F0A">
              <w:rPr>
                <w:rFonts w:ascii="Times New Roman" w:hAnsi="Times New Roman" w:cs="Times New Roman"/>
                <w:color w:val="auto"/>
                <w:sz w:val="22"/>
                <w:szCs w:val="22"/>
              </w:rPr>
              <w:t>i</w:t>
            </w:r>
            <w:r w:rsidR="00286F0A" w:rsidRPr="007B7F8D">
              <w:rPr>
                <w:rFonts w:ascii="Times New Roman" w:hAnsi="Times New Roman" w:cs="Times New Roman"/>
                <w:color w:val="auto"/>
                <w:sz w:val="22"/>
                <w:szCs w:val="22"/>
              </w:rPr>
              <w:t xml:space="preserve"> </w:t>
            </w:r>
            <w:r w:rsidRPr="007B7F8D">
              <w:rPr>
                <w:rFonts w:ascii="Times New Roman" w:hAnsi="Times New Roman" w:cs="Times New Roman"/>
                <w:color w:val="auto"/>
                <w:sz w:val="22"/>
                <w:szCs w:val="22"/>
              </w:rPr>
              <w:t xml:space="preserve">tehnisko līdzekļu nomas izmaksām, publicitātes izmaksām, kas kopā veido kopsummas maksājumu 34 600 </w:t>
            </w:r>
            <w:r w:rsidR="00051AD6">
              <w:rPr>
                <w:rFonts w:ascii="Times New Roman" w:hAnsi="Times New Roman" w:cs="Times New Roman"/>
                <w:color w:val="auto"/>
                <w:sz w:val="22"/>
                <w:szCs w:val="22"/>
              </w:rPr>
              <w:t>EUR</w:t>
            </w:r>
            <w:r w:rsidRPr="007B7F8D">
              <w:rPr>
                <w:rFonts w:ascii="Times New Roman" w:hAnsi="Times New Roman" w:cs="Times New Roman"/>
                <w:color w:val="auto"/>
                <w:sz w:val="22"/>
                <w:szCs w:val="22"/>
              </w:rPr>
              <w:t xml:space="preserve"> apmērā, kas pēc attiecīgu dokumentu iesniegšanas pie maksājuma pieprasījuma, kas pierāda, ka seminārs tika atbilstoši noorganizēts, tika attiecīgi deklarēts. Kontrolē X tika konstatēts, ka seminārs tika noorganizēts tikai daļēji, un ņemot vērā kopsummas maksājuma būtību - kopsummas maksājums ir konstants lielums, kas balstīts uz rezultātu, līdz ar to nevar tikt koriģēts atbilstoši projekta darbības izpildes pakāpei – tiek piemērota finanšu korekcija 100% apmērā par visu kopsummas maksājumu.</w:t>
            </w:r>
          </w:p>
          <w:p w14:paraId="53843582" w14:textId="77777777" w:rsidR="000A6D4F" w:rsidRPr="007B7F8D" w:rsidRDefault="000A6D4F" w:rsidP="00E65D59">
            <w:pPr>
              <w:pStyle w:val="Default"/>
              <w:jc w:val="both"/>
              <w:rPr>
                <w:rFonts w:ascii="Times New Roman" w:hAnsi="Times New Roman" w:cs="Times New Roman"/>
                <w:color w:val="auto"/>
                <w:sz w:val="22"/>
                <w:szCs w:val="22"/>
              </w:rPr>
            </w:pPr>
          </w:p>
          <w:p w14:paraId="1205A2F5" w14:textId="77777777" w:rsidR="000A6D4F" w:rsidRPr="007B7F8D" w:rsidRDefault="000A6D4F" w:rsidP="00E65D59">
            <w:pPr>
              <w:pStyle w:val="Default"/>
              <w:jc w:val="both"/>
              <w:rPr>
                <w:rFonts w:ascii="Times New Roman" w:hAnsi="Times New Roman" w:cs="Times New Roman"/>
                <w:color w:val="auto"/>
                <w:sz w:val="22"/>
                <w:szCs w:val="22"/>
              </w:rPr>
            </w:pPr>
          </w:p>
          <w:p w14:paraId="7D49459A" w14:textId="6AFF3711" w:rsidR="000A6D4F" w:rsidRPr="007B7F8D" w:rsidRDefault="000A6D4F" w:rsidP="00E65D59">
            <w:pPr>
              <w:pStyle w:val="Default"/>
              <w:jc w:val="both"/>
              <w:rPr>
                <w:rFonts w:ascii="Times New Roman" w:hAnsi="Times New Roman" w:cs="Times New Roman"/>
                <w:color w:val="auto"/>
                <w:sz w:val="22"/>
                <w:szCs w:val="22"/>
              </w:rPr>
            </w:pPr>
            <w:r w:rsidRPr="007B7F8D">
              <w:rPr>
                <w:rFonts w:ascii="Times New Roman" w:hAnsi="Times New Roman" w:cs="Times New Roman"/>
                <w:color w:val="auto"/>
                <w:sz w:val="22"/>
                <w:szCs w:val="22"/>
              </w:rPr>
              <w:t xml:space="preserve">c) Viena vienība ir datorapmācību stunda vienam bezdarbniekam, bet vienas vienības izmaksas ir datorapmācību stundas izmaksas vienam bezdarbniekam – 10 </w:t>
            </w:r>
            <w:r w:rsidR="008125F7">
              <w:rPr>
                <w:rFonts w:ascii="Times New Roman" w:hAnsi="Times New Roman" w:cs="Times New Roman"/>
                <w:color w:val="auto"/>
                <w:sz w:val="22"/>
                <w:szCs w:val="22"/>
              </w:rPr>
              <w:t>EUR</w:t>
            </w:r>
            <w:r w:rsidRPr="007B7F8D">
              <w:rPr>
                <w:rFonts w:ascii="Times New Roman" w:hAnsi="Times New Roman" w:cs="Times New Roman"/>
                <w:color w:val="auto"/>
                <w:sz w:val="22"/>
                <w:szCs w:val="22"/>
              </w:rPr>
              <w:t xml:space="preserve">. Projektā plānots 100 datorapmācību stundās apmācīt 20 bezdarbniekus. Kopējā plānotā vienas vienības izmaksu summa ir 100 datorapmācību stundas x 20 bezdarbnieki x 10 </w:t>
            </w:r>
            <w:r w:rsidR="008125F7">
              <w:rPr>
                <w:rFonts w:ascii="Times New Roman" w:hAnsi="Times New Roman" w:cs="Times New Roman"/>
                <w:color w:val="auto"/>
                <w:sz w:val="22"/>
                <w:szCs w:val="22"/>
              </w:rPr>
              <w:t>EUR</w:t>
            </w:r>
            <w:r w:rsidRPr="007B7F8D">
              <w:rPr>
                <w:rFonts w:ascii="Times New Roman" w:hAnsi="Times New Roman" w:cs="Times New Roman"/>
                <w:color w:val="auto"/>
                <w:sz w:val="22"/>
                <w:szCs w:val="22"/>
              </w:rPr>
              <w:t>/par stundu</w:t>
            </w:r>
            <w:r w:rsidR="00282385">
              <w:rPr>
                <w:rFonts w:ascii="Times New Roman" w:hAnsi="Times New Roman" w:cs="Times New Roman"/>
                <w:color w:val="auto"/>
                <w:sz w:val="22"/>
                <w:szCs w:val="22"/>
              </w:rPr>
              <w:t xml:space="preserve"> </w:t>
            </w:r>
            <w:r w:rsidRPr="007B7F8D">
              <w:rPr>
                <w:rFonts w:ascii="Times New Roman" w:hAnsi="Times New Roman" w:cs="Times New Roman"/>
                <w:color w:val="auto"/>
                <w:sz w:val="22"/>
                <w:szCs w:val="22"/>
              </w:rPr>
              <w:t>= 20</w:t>
            </w:r>
            <w:r w:rsidR="00A942D1">
              <w:rPr>
                <w:rFonts w:ascii="Times New Roman" w:hAnsi="Times New Roman" w:cs="Times New Roman"/>
                <w:color w:val="auto"/>
                <w:sz w:val="22"/>
                <w:szCs w:val="22"/>
              </w:rPr>
              <w:t> </w:t>
            </w:r>
            <w:r w:rsidRPr="007B7F8D">
              <w:rPr>
                <w:rFonts w:ascii="Times New Roman" w:hAnsi="Times New Roman" w:cs="Times New Roman"/>
                <w:color w:val="auto"/>
                <w:sz w:val="22"/>
                <w:szCs w:val="22"/>
              </w:rPr>
              <w:t>000</w:t>
            </w:r>
            <w:r w:rsidR="00A942D1">
              <w:rPr>
                <w:rFonts w:ascii="Times New Roman" w:hAnsi="Times New Roman" w:cs="Times New Roman"/>
                <w:color w:val="auto"/>
                <w:sz w:val="22"/>
                <w:szCs w:val="22"/>
              </w:rPr>
              <w:t xml:space="preserve"> </w:t>
            </w:r>
            <w:r w:rsidR="008125F7">
              <w:rPr>
                <w:rFonts w:ascii="Times New Roman" w:hAnsi="Times New Roman" w:cs="Times New Roman"/>
                <w:color w:val="auto"/>
                <w:sz w:val="22"/>
                <w:szCs w:val="22"/>
              </w:rPr>
              <w:t>EUR</w:t>
            </w:r>
            <w:r w:rsidRPr="007B7F8D">
              <w:rPr>
                <w:rFonts w:ascii="Times New Roman" w:hAnsi="Times New Roman" w:cs="Times New Roman"/>
                <w:color w:val="auto"/>
                <w:sz w:val="22"/>
                <w:szCs w:val="22"/>
              </w:rPr>
              <w:t>, kas, ņemot vērā iesniegtos pamatojuma dokumentus par darbību izpildi, tiek deklarēta. Kontrolē X tiek konstatēts, ka datorapmācībās piedalījās tikai 18 bezdarbnieki, no kuriem 10 bezdarbnieki katrs apmeklēja 95 stundas, bet 8 apmeklēja 90 stundas. Rezultātā attiecināmā summa ir 95</w:t>
            </w:r>
            <w:r w:rsidR="00412AEB">
              <w:rPr>
                <w:rFonts w:ascii="Times New Roman" w:hAnsi="Times New Roman" w:cs="Times New Roman"/>
                <w:color w:val="auto"/>
                <w:sz w:val="22"/>
                <w:szCs w:val="22"/>
              </w:rPr>
              <w:t xml:space="preserve"> </w:t>
            </w:r>
            <w:r w:rsidRPr="007B7F8D">
              <w:rPr>
                <w:rFonts w:ascii="Times New Roman" w:hAnsi="Times New Roman" w:cs="Times New Roman"/>
                <w:color w:val="auto"/>
                <w:sz w:val="22"/>
                <w:szCs w:val="22"/>
              </w:rPr>
              <w:t xml:space="preserve">stundas x 10 bezdarbnieki + 90 stundas x 8 </w:t>
            </w:r>
            <w:r w:rsidRPr="007B7F8D">
              <w:rPr>
                <w:rFonts w:ascii="Times New Roman" w:hAnsi="Times New Roman" w:cs="Times New Roman"/>
                <w:color w:val="auto"/>
                <w:sz w:val="22"/>
                <w:szCs w:val="22"/>
              </w:rPr>
              <w:lastRenderedPageBreak/>
              <w:t>bezdarbnieki = 1</w:t>
            </w:r>
            <w:r w:rsidR="00412AEB">
              <w:rPr>
                <w:rFonts w:ascii="Times New Roman" w:hAnsi="Times New Roman" w:cs="Times New Roman"/>
                <w:color w:val="auto"/>
                <w:sz w:val="22"/>
                <w:szCs w:val="22"/>
              </w:rPr>
              <w:t xml:space="preserve"> </w:t>
            </w:r>
            <w:r w:rsidRPr="007B7F8D">
              <w:rPr>
                <w:rFonts w:ascii="Times New Roman" w:hAnsi="Times New Roman" w:cs="Times New Roman"/>
                <w:color w:val="auto"/>
                <w:sz w:val="22"/>
                <w:szCs w:val="22"/>
              </w:rPr>
              <w:t>670 stundas x 10</w:t>
            </w:r>
            <w:r w:rsidR="008125F7">
              <w:rPr>
                <w:rFonts w:ascii="Times New Roman" w:hAnsi="Times New Roman" w:cs="Times New Roman"/>
                <w:color w:val="auto"/>
                <w:sz w:val="22"/>
                <w:szCs w:val="22"/>
              </w:rPr>
              <w:t xml:space="preserve"> EUR</w:t>
            </w:r>
            <w:r w:rsidRPr="007B7F8D">
              <w:rPr>
                <w:rFonts w:ascii="Times New Roman" w:hAnsi="Times New Roman" w:cs="Times New Roman"/>
                <w:color w:val="auto"/>
                <w:sz w:val="22"/>
                <w:szCs w:val="22"/>
              </w:rPr>
              <w:t xml:space="preserve">/par stundu = 16 700 </w:t>
            </w:r>
            <w:r w:rsidR="00051AD6">
              <w:rPr>
                <w:rFonts w:ascii="Times New Roman" w:hAnsi="Times New Roman" w:cs="Times New Roman"/>
                <w:color w:val="auto"/>
                <w:sz w:val="22"/>
                <w:szCs w:val="22"/>
              </w:rPr>
              <w:t>EUR</w:t>
            </w:r>
            <w:r w:rsidRPr="007B7F8D">
              <w:rPr>
                <w:rFonts w:ascii="Times New Roman" w:hAnsi="Times New Roman" w:cs="Times New Roman"/>
                <w:color w:val="auto"/>
                <w:sz w:val="22"/>
                <w:szCs w:val="22"/>
              </w:rPr>
              <w:t xml:space="preserve">. Neatbilstoši veiktā izdevumu summa ir 20 000 </w:t>
            </w:r>
            <w:r w:rsidR="00051AD6">
              <w:rPr>
                <w:rFonts w:ascii="Times New Roman" w:hAnsi="Times New Roman" w:cs="Times New Roman"/>
                <w:color w:val="auto"/>
                <w:sz w:val="22"/>
                <w:szCs w:val="22"/>
              </w:rPr>
              <w:t>EUR</w:t>
            </w:r>
            <w:r w:rsidRPr="007B7F8D">
              <w:rPr>
                <w:rFonts w:ascii="Times New Roman" w:hAnsi="Times New Roman" w:cs="Times New Roman"/>
                <w:color w:val="auto"/>
                <w:sz w:val="22"/>
                <w:szCs w:val="22"/>
              </w:rPr>
              <w:t xml:space="preserve"> – 16 700 </w:t>
            </w:r>
            <w:r w:rsidR="00051AD6">
              <w:rPr>
                <w:rFonts w:ascii="Times New Roman" w:hAnsi="Times New Roman" w:cs="Times New Roman"/>
                <w:color w:val="auto"/>
                <w:sz w:val="22"/>
                <w:szCs w:val="22"/>
              </w:rPr>
              <w:t>EUR</w:t>
            </w:r>
            <w:r w:rsidRPr="007B7F8D">
              <w:rPr>
                <w:rFonts w:ascii="Times New Roman" w:hAnsi="Times New Roman" w:cs="Times New Roman"/>
                <w:color w:val="auto"/>
                <w:sz w:val="22"/>
                <w:szCs w:val="22"/>
              </w:rPr>
              <w:t xml:space="preserve"> = 3 300 </w:t>
            </w:r>
            <w:r w:rsidR="00051AD6">
              <w:rPr>
                <w:rFonts w:ascii="Times New Roman" w:hAnsi="Times New Roman" w:cs="Times New Roman"/>
                <w:color w:val="auto"/>
                <w:sz w:val="22"/>
                <w:szCs w:val="22"/>
              </w:rPr>
              <w:t>EUR</w:t>
            </w:r>
            <w:r w:rsidRPr="007B7F8D">
              <w:rPr>
                <w:rFonts w:ascii="Times New Roman" w:hAnsi="Times New Roman" w:cs="Times New Roman"/>
                <w:color w:val="auto"/>
                <w:sz w:val="22"/>
                <w:szCs w:val="22"/>
              </w:rPr>
              <w:t>.</w:t>
            </w:r>
          </w:p>
          <w:p w14:paraId="7F001269" w14:textId="77777777" w:rsidR="000A6D4F" w:rsidRPr="007B7F8D" w:rsidRDefault="000A6D4F" w:rsidP="00E65D59">
            <w:pPr>
              <w:pStyle w:val="Default"/>
              <w:jc w:val="both"/>
              <w:rPr>
                <w:rFonts w:ascii="Times New Roman" w:hAnsi="Times New Roman" w:cs="Times New Roman"/>
                <w:color w:val="auto"/>
                <w:sz w:val="22"/>
                <w:szCs w:val="22"/>
              </w:rPr>
            </w:pPr>
          </w:p>
          <w:p w14:paraId="40CF54E2" w14:textId="77777777" w:rsidR="000A6D4F" w:rsidRPr="007B7F8D" w:rsidRDefault="000A6D4F" w:rsidP="00E65D59">
            <w:pPr>
              <w:pStyle w:val="Default"/>
              <w:jc w:val="both"/>
              <w:rPr>
                <w:rFonts w:ascii="Times New Roman" w:hAnsi="Times New Roman" w:cs="Times New Roman"/>
                <w:color w:val="auto"/>
                <w:sz w:val="22"/>
                <w:szCs w:val="22"/>
              </w:rPr>
            </w:pPr>
            <w:r w:rsidRPr="007B7F8D">
              <w:rPr>
                <w:rFonts w:ascii="Times New Roman" w:hAnsi="Times New Roman" w:cs="Times New Roman"/>
                <w:color w:val="auto"/>
                <w:sz w:val="22"/>
                <w:szCs w:val="22"/>
              </w:rPr>
              <w:t>Proporcionāla finanšu korekcija tiek piemērota arī gadījumā, ja, piemēram, finansējuma saņēmējs ir piemērojis citu likmi datorapmācību stundas izmaksas vienam bezdarbniekam – nevis 10</w:t>
            </w:r>
            <w:r w:rsidR="00051AD6">
              <w:rPr>
                <w:rFonts w:ascii="Times New Roman" w:hAnsi="Times New Roman" w:cs="Times New Roman"/>
                <w:color w:val="auto"/>
                <w:sz w:val="22"/>
                <w:szCs w:val="22"/>
              </w:rPr>
              <w:t xml:space="preserve"> EUR</w:t>
            </w:r>
            <w:r w:rsidRPr="007B7F8D">
              <w:rPr>
                <w:rFonts w:ascii="Times New Roman" w:hAnsi="Times New Roman" w:cs="Times New Roman"/>
                <w:color w:val="auto"/>
                <w:sz w:val="22"/>
                <w:szCs w:val="22"/>
              </w:rPr>
              <w:t xml:space="preserve">, bet 12 </w:t>
            </w:r>
            <w:r w:rsidR="00051AD6">
              <w:rPr>
                <w:rFonts w:ascii="Times New Roman" w:hAnsi="Times New Roman" w:cs="Times New Roman"/>
                <w:color w:val="auto"/>
                <w:sz w:val="22"/>
                <w:szCs w:val="22"/>
              </w:rPr>
              <w:t>EUR</w:t>
            </w:r>
            <w:r w:rsidRPr="007B7F8D">
              <w:rPr>
                <w:rFonts w:ascii="Times New Roman" w:hAnsi="Times New Roman" w:cs="Times New Roman"/>
                <w:color w:val="auto"/>
                <w:sz w:val="22"/>
                <w:szCs w:val="22"/>
              </w:rPr>
              <w:t>.</w:t>
            </w:r>
          </w:p>
          <w:p w14:paraId="6CF83CFD" w14:textId="77777777" w:rsidR="000A6D4F" w:rsidRPr="007B7F8D" w:rsidRDefault="000A6D4F" w:rsidP="00E65D59">
            <w:pPr>
              <w:pStyle w:val="Default"/>
              <w:jc w:val="both"/>
              <w:rPr>
                <w:rFonts w:ascii="Times New Roman" w:hAnsi="Times New Roman" w:cs="Times New Roman"/>
                <w:color w:val="auto"/>
                <w:sz w:val="22"/>
                <w:szCs w:val="22"/>
              </w:rPr>
            </w:pPr>
          </w:p>
        </w:tc>
        <w:tc>
          <w:tcPr>
            <w:tcW w:w="916" w:type="pct"/>
          </w:tcPr>
          <w:p w14:paraId="0A489C6A" w14:textId="77777777" w:rsidR="000A6D4F" w:rsidRPr="007B7F8D" w:rsidRDefault="000A6D4F" w:rsidP="00E65D59">
            <w:pPr>
              <w:rPr>
                <w:sz w:val="22"/>
                <w:szCs w:val="22"/>
              </w:rPr>
            </w:pPr>
          </w:p>
          <w:p w14:paraId="1EA55491" w14:textId="77777777" w:rsidR="000A6D4F" w:rsidRPr="007B7F8D" w:rsidRDefault="000A6D4F" w:rsidP="00E65D59">
            <w:pPr>
              <w:rPr>
                <w:sz w:val="22"/>
                <w:szCs w:val="22"/>
              </w:rPr>
            </w:pPr>
          </w:p>
          <w:p w14:paraId="47AA1225" w14:textId="77777777" w:rsidR="000A6D4F" w:rsidRPr="007B7F8D" w:rsidRDefault="000A6D4F" w:rsidP="00E65D59">
            <w:pPr>
              <w:numPr>
                <w:ilvl w:val="0"/>
                <w:numId w:val="3"/>
              </w:numPr>
              <w:tabs>
                <w:tab w:val="clear" w:pos="720"/>
                <w:tab w:val="num" w:pos="349"/>
              </w:tabs>
              <w:ind w:left="0" w:hanging="11"/>
              <w:rPr>
                <w:sz w:val="22"/>
                <w:szCs w:val="22"/>
              </w:rPr>
            </w:pPr>
            <w:r w:rsidRPr="007B7F8D">
              <w:rPr>
                <w:sz w:val="22"/>
                <w:szCs w:val="22"/>
              </w:rPr>
              <w:lastRenderedPageBreak/>
              <w:t>finanšu korekcija proporcionāli tiešo izmaksu samazinājumam (starpībai)</w:t>
            </w:r>
          </w:p>
          <w:p w14:paraId="6286FC9E" w14:textId="77777777" w:rsidR="000A6D4F" w:rsidRPr="007B7F8D" w:rsidRDefault="000A6D4F" w:rsidP="00E65D59">
            <w:pPr>
              <w:ind w:left="-11"/>
              <w:rPr>
                <w:sz w:val="22"/>
                <w:szCs w:val="22"/>
              </w:rPr>
            </w:pPr>
          </w:p>
          <w:p w14:paraId="6F9617CE" w14:textId="77777777" w:rsidR="000A6D4F" w:rsidRPr="007B7F8D" w:rsidRDefault="000A6D4F" w:rsidP="00E65D59">
            <w:pPr>
              <w:ind w:left="-11"/>
              <w:rPr>
                <w:sz w:val="22"/>
                <w:szCs w:val="22"/>
              </w:rPr>
            </w:pPr>
          </w:p>
          <w:p w14:paraId="6C1C34F1" w14:textId="77777777" w:rsidR="000A6D4F" w:rsidRPr="007B7F8D" w:rsidRDefault="000A6D4F" w:rsidP="00E65D59">
            <w:pPr>
              <w:ind w:left="-11"/>
              <w:rPr>
                <w:sz w:val="22"/>
                <w:szCs w:val="22"/>
              </w:rPr>
            </w:pPr>
          </w:p>
          <w:p w14:paraId="1127EC2D" w14:textId="77777777" w:rsidR="000A6D4F" w:rsidRPr="007B7F8D" w:rsidRDefault="000A6D4F" w:rsidP="00E65D59">
            <w:pPr>
              <w:ind w:left="-11"/>
              <w:rPr>
                <w:sz w:val="22"/>
                <w:szCs w:val="22"/>
              </w:rPr>
            </w:pPr>
          </w:p>
          <w:p w14:paraId="439C401B" w14:textId="77777777" w:rsidR="000A6D4F" w:rsidRPr="007B7F8D" w:rsidRDefault="000A6D4F" w:rsidP="00E65D59">
            <w:pPr>
              <w:ind w:left="-11"/>
              <w:rPr>
                <w:sz w:val="22"/>
                <w:szCs w:val="22"/>
              </w:rPr>
            </w:pPr>
          </w:p>
          <w:p w14:paraId="5C5429C4" w14:textId="77777777" w:rsidR="000A6D4F" w:rsidRPr="007B7F8D" w:rsidRDefault="000A6D4F" w:rsidP="00E65D59">
            <w:pPr>
              <w:rPr>
                <w:sz w:val="22"/>
                <w:szCs w:val="22"/>
              </w:rPr>
            </w:pPr>
          </w:p>
          <w:p w14:paraId="23D33BDE" w14:textId="77777777" w:rsidR="000A6D4F" w:rsidRPr="007B7F8D" w:rsidRDefault="000A6D4F" w:rsidP="00E65D59">
            <w:pPr>
              <w:rPr>
                <w:sz w:val="22"/>
                <w:szCs w:val="22"/>
              </w:rPr>
            </w:pPr>
          </w:p>
          <w:p w14:paraId="79AC6A31" w14:textId="77777777" w:rsidR="000A6D4F" w:rsidRPr="007B7F8D" w:rsidRDefault="000A6D4F" w:rsidP="00E65D59">
            <w:pPr>
              <w:rPr>
                <w:sz w:val="22"/>
                <w:szCs w:val="22"/>
              </w:rPr>
            </w:pPr>
          </w:p>
          <w:p w14:paraId="6672E2FE" w14:textId="77777777" w:rsidR="000A6D4F" w:rsidRPr="007B7F8D" w:rsidRDefault="000A6D4F" w:rsidP="00E65D59">
            <w:pPr>
              <w:rPr>
                <w:sz w:val="22"/>
                <w:szCs w:val="22"/>
              </w:rPr>
            </w:pPr>
          </w:p>
          <w:p w14:paraId="607B1A97" w14:textId="77777777" w:rsidR="000A6D4F" w:rsidRPr="007B7F8D" w:rsidRDefault="000A6D4F" w:rsidP="00E65D59">
            <w:pPr>
              <w:rPr>
                <w:sz w:val="22"/>
                <w:szCs w:val="22"/>
              </w:rPr>
            </w:pPr>
          </w:p>
          <w:p w14:paraId="6DB7F768" w14:textId="77777777" w:rsidR="000A6D4F" w:rsidRPr="007B7F8D" w:rsidRDefault="000A6D4F" w:rsidP="00E65D59">
            <w:pPr>
              <w:numPr>
                <w:ilvl w:val="0"/>
                <w:numId w:val="3"/>
              </w:numPr>
              <w:tabs>
                <w:tab w:val="clear" w:pos="720"/>
                <w:tab w:val="num" w:pos="432"/>
              </w:tabs>
              <w:ind w:hanging="720"/>
              <w:rPr>
                <w:sz w:val="22"/>
                <w:szCs w:val="22"/>
              </w:rPr>
            </w:pPr>
            <w:r w:rsidRPr="007B7F8D">
              <w:rPr>
                <w:sz w:val="22"/>
                <w:szCs w:val="22"/>
              </w:rPr>
              <w:t>100%</w:t>
            </w:r>
          </w:p>
          <w:p w14:paraId="459B47D8" w14:textId="77777777" w:rsidR="000A6D4F" w:rsidRPr="007B7F8D" w:rsidRDefault="000A6D4F" w:rsidP="00E65D59">
            <w:pPr>
              <w:rPr>
                <w:sz w:val="22"/>
                <w:szCs w:val="22"/>
              </w:rPr>
            </w:pPr>
          </w:p>
          <w:p w14:paraId="711FF512" w14:textId="77777777" w:rsidR="000A6D4F" w:rsidRPr="007B7F8D" w:rsidRDefault="000A6D4F" w:rsidP="00E65D59">
            <w:pPr>
              <w:rPr>
                <w:sz w:val="22"/>
                <w:szCs w:val="22"/>
              </w:rPr>
            </w:pPr>
          </w:p>
          <w:p w14:paraId="720997F1" w14:textId="77777777" w:rsidR="000A6D4F" w:rsidRPr="007B7F8D" w:rsidRDefault="000A6D4F" w:rsidP="00E65D59">
            <w:pPr>
              <w:rPr>
                <w:sz w:val="22"/>
                <w:szCs w:val="22"/>
              </w:rPr>
            </w:pPr>
          </w:p>
          <w:p w14:paraId="7516E1AC" w14:textId="77777777" w:rsidR="000A6D4F" w:rsidRPr="007B7F8D" w:rsidRDefault="000A6D4F" w:rsidP="00E65D59">
            <w:pPr>
              <w:rPr>
                <w:sz w:val="22"/>
                <w:szCs w:val="22"/>
              </w:rPr>
            </w:pPr>
          </w:p>
          <w:p w14:paraId="09DC7DB2" w14:textId="77777777" w:rsidR="000A6D4F" w:rsidRPr="007B7F8D" w:rsidRDefault="000A6D4F" w:rsidP="00E65D59">
            <w:pPr>
              <w:rPr>
                <w:sz w:val="22"/>
                <w:szCs w:val="22"/>
              </w:rPr>
            </w:pPr>
          </w:p>
          <w:p w14:paraId="6ACED307" w14:textId="77777777" w:rsidR="000A6D4F" w:rsidRPr="007B7F8D" w:rsidRDefault="000A6D4F" w:rsidP="00E65D59">
            <w:pPr>
              <w:rPr>
                <w:sz w:val="22"/>
                <w:szCs w:val="22"/>
              </w:rPr>
            </w:pPr>
          </w:p>
          <w:p w14:paraId="1B82AAAE" w14:textId="77777777" w:rsidR="000A6D4F" w:rsidRPr="007B7F8D" w:rsidRDefault="000A6D4F" w:rsidP="00E65D59">
            <w:pPr>
              <w:rPr>
                <w:sz w:val="22"/>
                <w:szCs w:val="22"/>
              </w:rPr>
            </w:pPr>
          </w:p>
          <w:p w14:paraId="7EDAA7DA" w14:textId="77777777" w:rsidR="000A6D4F" w:rsidRPr="007B7F8D" w:rsidRDefault="000A6D4F" w:rsidP="00E65D59">
            <w:pPr>
              <w:rPr>
                <w:sz w:val="22"/>
                <w:szCs w:val="22"/>
              </w:rPr>
            </w:pPr>
          </w:p>
          <w:p w14:paraId="256663D0" w14:textId="77777777" w:rsidR="000A6D4F" w:rsidRPr="007B7F8D" w:rsidRDefault="000A6D4F" w:rsidP="00E65D59">
            <w:pPr>
              <w:rPr>
                <w:sz w:val="22"/>
                <w:szCs w:val="22"/>
              </w:rPr>
            </w:pPr>
          </w:p>
          <w:p w14:paraId="640FE1BA" w14:textId="77777777" w:rsidR="000A6D4F" w:rsidRPr="007B7F8D" w:rsidRDefault="000A6D4F" w:rsidP="00E65D59">
            <w:pPr>
              <w:rPr>
                <w:sz w:val="22"/>
                <w:szCs w:val="22"/>
              </w:rPr>
            </w:pPr>
          </w:p>
          <w:p w14:paraId="50537B21" w14:textId="77777777" w:rsidR="000A6D4F" w:rsidRPr="007B7F8D" w:rsidRDefault="000A6D4F" w:rsidP="00E65D59">
            <w:pPr>
              <w:rPr>
                <w:sz w:val="22"/>
                <w:szCs w:val="22"/>
              </w:rPr>
            </w:pPr>
          </w:p>
          <w:p w14:paraId="2DA783AC" w14:textId="77777777" w:rsidR="000A6D4F" w:rsidRPr="007B7F8D" w:rsidRDefault="000A6D4F" w:rsidP="00E65D59">
            <w:pPr>
              <w:rPr>
                <w:sz w:val="22"/>
                <w:szCs w:val="22"/>
              </w:rPr>
            </w:pPr>
          </w:p>
          <w:p w14:paraId="0E73196E" w14:textId="77777777" w:rsidR="000A6D4F" w:rsidRPr="007B7F8D" w:rsidRDefault="000A6D4F" w:rsidP="00E65D59">
            <w:pPr>
              <w:numPr>
                <w:ilvl w:val="0"/>
                <w:numId w:val="3"/>
              </w:numPr>
              <w:tabs>
                <w:tab w:val="clear" w:pos="720"/>
                <w:tab w:val="num" w:pos="432"/>
              </w:tabs>
              <w:ind w:left="0" w:firstLine="0"/>
              <w:rPr>
                <w:sz w:val="22"/>
                <w:szCs w:val="22"/>
              </w:rPr>
            </w:pPr>
            <w:r w:rsidRPr="007B7F8D">
              <w:rPr>
                <w:sz w:val="22"/>
                <w:szCs w:val="22"/>
              </w:rPr>
              <w:t>Proporcionāla finanšu korekcija</w:t>
            </w:r>
          </w:p>
          <w:p w14:paraId="70A3506C" w14:textId="77777777" w:rsidR="000A6D4F" w:rsidRPr="007B7F8D" w:rsidRDefault="000A6D4F" w:rsidP="00E65D59">
            <w:pPr>
              <w:rPr>
                <w:sz w:val="22"/>
                <w:szCs w:val="22"/>
              </w:rPr>
            </w:pPr>
          </w:p>
          <w:p w14:paraId="445139AB" w14:textId="77777777" w:rsidR="000A6D4F" w:rsidRPr="007B7F8D" w:rsidRDefault="000A6D4F" w:rsidP="00E65D59">
            <w:pPr>
              <w:pStyle w:val="Default"/>
              <w:jc w:val="both"/>
              <w:rPr>
                <w:rFonts w:ascii="Times New Roman" w:hAnsi="Times New Roman" w:cs="Times New Roman"/>
                <w:color w:val="auto"/>
                <w:sz w:val="22"/>
                <w:szCs w:val="22"/>
              </w:rPr>
            </w:pPr>
            <w:r w:rsidRPr="007B7F8D">
              <w:rPr>
                <w:rFonts w:ascii="Times New Roman" w:hAnsi="Times New Roman" w:cs="Times New Roman"/>
                <w:color w:val="auto"/>
                <w:sz w:val="22"/>
                <w:szCs w:val="22"/>
              </w:rPr>
              <w:t xml:space="preserve">Finanšu korekcija  augstāk minētajos piemēros 100% apjomā var tikt piemērota arī gadījumos, kad ir nodeklarētas summas par </w:t>
            </w:r>
            <w:r w:rsidRPr="007B7F8D">
              <w:rPr>
                <w:rFonts w:ascii="Times New Roman" w:hAnsi="Times New Roman" w:cs="Times New Roman"/>
                <w:color w:val="auto"/>
                <w:sz w:val="22"/>
                <w:szCs w:val="22"/>
              </w:rPr>
              <w:lastRenderedPageBreak/>
              <w:t>pilnīgu darbību izpildi, bet pārbaudē uz vietas finansējuma saņēmējs nevar uzrādīt darbību izpildi pamatojošus dokumentus.</w:t>
            </w:r>
          </w:p>
          <w:p w14:paraId="7B1E2777" w14:textId="77777777" w:rsidR="000A6D4F" w:rsidRPr="007B7F8D" w:rsidRDefault="000A6D4F" w:rsidP="00E65D59">
            <w:pPr>
              <w:rPr>
                <w:sz w:val="22"/>
                <w:szCs w:val="22"/>
              </w:rPr>
            </w:pPr>
          </w:p>
        </w:tc>
      </w:tr>
      <w:tr w:rsidR="000A6D4F" w:rsidRPr="009D07C7" w14:paraId="456CC1DF" w14:textId="77777777" w:rsidTr="003763D5">
        <w:tc>
          <w:tcPr>
            <w:tcW w:w="5000" w:type="pct"/>
            <w:gridSpan w:val="5"/>
            <w:shd w:val="clear" w:color="auto" w:fill="D9D9D9"/>
          </w:tcPr>
          <w:p w14:paraId="0D3BAD1C" w14:textId="77777777" w:rsidR="000A6D4F" w:rsidRPr="009D07C7" w:rsidRDefault="000A6D4F" w:rsidP="00E65D59">
            <w:pPr>
              <w:jc w:val="center"/>
              <w:rPr>
                <w:b/>
                <w:sz w:val="22"/>
                <w:szCs w:val="22"/>
              </w:rPr>
            </w:pPr>
            <w:r w:rsidRPr="009D07C7">
              <w:rPr>
                <w:b/>
                <w:sz w:val="22"/>
                <w:szCs w:val="22"/>
              </w:rPr>
              <w:lastRenderedPageBreak/>
              <w:t>Vispārīgi jautājumi</w:t>
            </w:r>
          </w:p>
        </w:tc>
      </w:tr>
      <w:tr w:rsidR="000A6D4F" w:rsidRPr="009D07C7" w14:paraId="519B5421" w14:textId="77777777" w:rsidTr="009838BC">
        <w:tc>
          <w:tcPr>
            <w:tcW w:w="276" w:type="pct"/>
          </w:tcPr>
          <w:p w14:paraId="7856526A" w14:textId="77777777" w:rsidR="000A6D4F" w:rsidRPr="009D07C7" w:rsidRDefault="000A6D4F" w:rsidP="00E65D59">
            <w:pPr>
              <w:numPr>
                <w:ilvl w:val="0"/>
                <w:numId w:val="1"/>
              </w:numPr>
              <w:jc w:val="both"/>
              <w:rPr>
                <w:sz w:val="22"/>
                <w:szCs w:val="22"/>
              </w:rPr>
            </w:pPr>
          </w:p>
        </w:tc>
        <w:tc>
          <w:tcPr>
            <w:tcW w:w="1726" w:type="pct"/>
          </w:tcPr>
          <w:p w14:paraId="22A49483" w14:textId="77777777" w:rsidR="000A6D4F" w:rsidRPr="009D07C7" w:rsidRDefault="000A6D4F" w:rsidP="004B63B0">
            <w:pPr>
              <w:jc w:val="both"/>
              <w:rPr>
                <w:b/>
                <w:sz w:val="22"/>
                <w:szCs w:val="22"/>
              </w:rPr>
            </w:pPr>
            <w:r w:rsidRPr="009D07C7">
              <w:rPr>
                <w:b/>
                <w:sz w:val="22"/>
                <w:szCs w:val="22"/>
              </w:rPr>
              <w:t xml:space="preserve">Projekta ietvaros </w:t>
            </w:r>
            <w:r>
              <w:rPr>
                <w:b/>
                <w:sz w:val="22"/>
                <w:szCs w:val="22"/>
              </w:rPr>
              <w:t xml:space="preserve">bez saskaņošanas ar </w:t>
            </w:r>
            <w:r w:rsidR="00464451">
              <w:rPr>
                <w:b/>
                <w:sz w:val="22"/>
                <w:szCs w:val="22"/>
              </w:rPr>
              <w:t xml:space="preserve">sadarbības iestādi </w:t>
            </w:r>
            <w:r w:rsidRPr="009D07C7">
              <w:rPr>
                <w:b/>
                <w:sz w:val="22"/>
                <w:szCs w:val="22"/>
              </w:rPr>
              <w:t>veiktas</w:t>
            </w:r>
            <w:r>
              <w:rPr>
                <w:b/>
                <w:sz w:val="22"/>
                <w:szCs w:val="22"/>
              </w:rPr>
              <w:t xml:space="preserve"> izmaiņas, kas</w:t>
            </w:r>
            <w:r w:rsidRPr="009D07C7">
              <w:rPr>
                <w:b/>
                <w:sz w:val="22"/>
                <w:szCs w:val="22"/>
              </w:rPr>
              <w:t xml:space="preserve"> </w:t>
            </w:r>
            <w:r>
              <w:rPr>
                <w:b/>
                <w:sz w:val="22"/>
                <w:szCs w:val="22"/>
              </w:rPr>
              <w:t xml:space="preserve">nav uzskatāmas par būtiskām, bet ietekmē </w:t>
            </w:r>
            <w:r w:rsidR="00464451" w:rsidRPr="00464451">
              <w:rPr>
                <w:b/>
                <w:sz w:val="22"/>
                <w:szCs w:val="22"/>
              </w:rPr>
              <w:t>izdevumu attiecināmību</w:t>
            </w:r>
          </w:p>
        </w:tc>
        <w:tc>
          <w:tcPr>
            <w:tcW w:w="2061" w:type="pct"/>
          </w:tcPr>
          <w:p w14:paraId="1EE21D90" w14:textId="77777777" w:rsidR="000A6D4F" w:rsidRPr="009D07C7" w:rsidRDefault="000A6D4F" w:rsidP="00E65D59">
            <w:pPr>
              <w:pStyle w:val="Text3"/>
              <w:snapToGrid w:val="0"/>
              <w:spacing w:after="0"/>
              <w:ind w:left="0"/>
              <w:rPr>
                <w:sz w:val="22"/>
                <w:szCs w:val="22"/>
                <w:lang w:val="lv-LV"/>
              </w:rPr>
            </w:pPr>
            <w:r w:rsidRPr="009D07C7">
              <w:rPr>
                <w:sz w:val="22"/>
                <w:szCs w:val="22"/>
                <w:lang w:val="lv-LV"/>
              </w:rPr>
              <w:t xml:space="preserve">Projektu ietvaros būvniecības procesa un materiālu atbilstības uzraudzība ir funkcija, ko finansējuma saņēmēja vārdā veic būvuzraugs, tomēr atsevišķos gadījumos uzraugošā institūcija konstatē situācijas, kad būvniecības līguma izpildes laikā  tehniskajā specifikācijā norādītais materiāls aizstāts ar citu. Finansējuma saņēmējs, būvuzraugs un autoruzraugs materiāla maiņu akceptējis, tomēr, veicot pārbaudi, aģentūra konstatē, ka aizstātā materiāla tehniskie rādītāji ir </w:t>
            </w:r>
            <w:r w:rsidRPr="009D07C7">
              <w:rPr>
                <w:sz w:val="22"/>
                <w:szCs w:val="22"/>
                <w:u w:val="single"/>
                <w:lang w:val="lv-LV"/>
              </w:rPr>
              <w:t>ievērojami zemāki</w:t>
            </w:r>
            <w:r w:rsidRPr="009D07C7">
              <w:rPr>
                <w:sz w:val="22"/>
                <w:szCs w:val="22"/>
                <w:lang w:val="lv-LV"/>
              </w:rPr>
              <w:t xml:space="preserve"> kā sākotnēji </w:t>
            </w:r>
            <w:r w:rsidR="00286F0A" w:rsidRPr="009D07C7">
              <w:rPr>
                <w:sz w:val="22"/>
                <w:szCs w:val="22"/>
                <w:lang w:val="lv-LV"/>
              </w:rPr>
              <w:t>paredzēt</w:t>
            </w:r>
            <w:r w:rsidR="00286F0A">
              <w:rPr>
                <w:sz w:val="22"/>
                <w:szCs w:val="22"/>
                <w:lang w:val="lv-LV"/>
              </w:rPr>
              <w:t>i</w:t>
            </w:r>
            <w:r w:rsidRPr="009D07C7">
              <w:rPr>
                <w:sz w:val="22"/>
                <w:szCs w:val="22"/>
                <w:lang w:val="lv-LV"/>
              </w:rPr>
              <w:t xml:space="preserve">. Materiālu aizvietošana neietekmē projekta mērķa sasniegšanu vai veiktā iepirkuma rezultātu un nav uzskatāma par būtiskiem grozījumiem iepirkuma līgumā. Materiālu maiņas rezultātā iepirkuma līguma summa netiek samazināta (iegādātā materiāla cena nav mainīta), kaut arī  faktiski piegādātais materiāls ir zemākas kvalitātes, un tirgū pieejams par lētāku cenu. </w:t>
            </w:r>
          </w:p>
          <w:p w14:paraId="6394EB16" w14:textId="77777777" w:rsidR="000A6D4F" w:rsidRPr="009D07C7" w:rsidRDefault="000A6D4F" w:rsidP="00E65D59">
            <w:pPr>
              <w:jc w:val="both"/>
              <w:rPr>
                <w:b/>
                <w:sz w:val="22"/>
                <w:szCs w:val="22"/>
              </w:rPr>
            </w:pPr>
            <w:r w:rsidRPr="009D07C7">
              <w:rPr>
                <w:sz w:val="22"/>
                <w:szCs w:val="22"/>
              </w:rPr>
              <w:t>Korekcija piemērojama arī līguma summai, kas noslēgta ar būvuzraugu, ja būvuzraudzība ir iekļauta projekta attiecināmajās izmaksās, jo ir konstatēts, ka būvuzraugs savas funkcijas ir veicis nekvalitatīvi.</w:t>
            </w:r>
          </w:p>
        </w:tc>
        <w:tc>
          <w:tcPr>
            <w:tcW w:w="937" w:type="pct"/>
            <w:gridSpan w:val="2"/>
          </w:tcPr>
          <w:p w14:paraId="630B99A9" w14:textId="77777777" w:rsidR="000A6D4F" w:rsidRPr="009D07C7" w:rsidRDefault="000A6D4F" w:rsidP="00E65D59">
            <w:pPr>
              <w:pStyle w:val="Text3"/>
              <w:snapToGrid w:val="0"/>
              <w:spacing w:after="0"/>
              <w:ind w:left="0"/>
              <w:rPr>
                <w:sz w:val="22"/>
                <w:szCs w:val="22"/>
                <w:lang w:val="lv-LV"/>
              </w:rPr>
            </w:pPr>
            <w:r w:rsidRPr="009D07C7">
              <w:rPr>
                <w:sz w:val="22"/>
                <w:szCs w:val="22"/>
                <w:lang w:val="lv-LV"/>
              </w:rPr>
              <w:t xml:space="preserve">100% korekciju piemēro konkrētajai līguma pozīcijai. </w:t>
            </w:r>
          </w:p>
          <w:p w14:paraId="4F12CD19" w14:textId="77777777" w:rsidR="000A6D4F" w:rsidRPr="009D07C7" w:rsidRDefault="000A6D4F" w:rsidP="00E65D59">
            <w:pPr>
              <w:pStyle w:val="Text3"/>
              <w:snapToGrid w:val="0"/>
              <w:spacing w:after="0"/>
              <w:rPr>
                <w:sz w:val="22"/>
                <w:szCs w:val="22"/>
                <w:lang w:val="lv-LV"/>
              </w:rPr>
            </w:pPr>
          </w:p>
          <w:p w14:paraId="1F5316B8" w14:textId="77777777" w:rsidR="000A6D4F" w:rsidRPr="009D07C7" w:rsidRDefault="000A6D4F" w:rsidP="00E65D59">
            <w:pPr>
              <w:jc w:val="both"/>
              <w:rPr>
                <w:b/>
                <w:sz w:val="22"/>
                <w:szCs w:val="22"/>
              </w:rPr>
            </w:pPr>
            <w:r w:rsidRPr="009D07C7">
              <w:rPr>
                <w:sz w:val="22"/>
                <w:szCs w:val="22"/>
              </w:rPr>
              <w:t>Ņemot vērā pārkāpuma būtiskumu, korekcijas apmēru var samazināt līdz 25%.</w:t>
            </w:r>
          </w:p>
        </w:tc>
      </w:tr>
      <w:tr w:rsidR="00F66F92" w:rsidRPr="009D07C7" w14:paraId="5E4B9DAD" w14:textId="77777777" w:rsidTr="009838BC">
        <w:tc>
          <w:tcPr>
            <w:tcW w:w="276" w:type="pct"/>
          </w:tcPr>
          <w:p w14:paraId="4EF7542C" w14:textId="77777777" w:rsidR="00F66F92" w:rsidRPr="009D07C7" w:rsidRDefault="00F66F92" w:rsidP="00E65D59">
            <w:pPr>
              <w:numPr>
                <w:ilvl w:val="0"/>
                <w:numId w:val="1"/>
              </w:numPr>
              <w:jc w:val="both"/>
              <w:rPr>
                <w:sz w:val="22"/>
                <w:szCs w:val="22"/>
              </w:rPr>
            </w:pPr>
          </w:p>
        </w:tc>
        <w:tc>
          <w:tcPr>
            <w:tcW w:w="1726" w:type="pct"/>
          </w:tcPr>
          <w:p w14:paraId="01650231" w14:textId="77777777" w:rsidR="00F66F92" w:rsidRPr="009D07C7" w:rsidRDefault="00F66F92" w:rsidP="00F65C29">
            <w:pPr>
              <w:jc w:val="both"/>
              <w:rPr>
                <w:b/>
                <w:sz w:val="22"/>
                <w:szCs w:val="22"/>
              </w:rPr>
            </w:pPr>
            <w:r w:rsidRPr="00F66F92">
              <w:rPr>
                <w:b/>
                <w:sz w:val="22"/>
                <w:szCs w:val="22"/>
              </w:rPr>
              <w:t xml:space="preserve">Vispārīgs punkts par proporcionālās finanšu korekcijas apmēru – </w:t>
            </w:r>
            <w:r>
              <w:rPr>
                <w:b/>
                <w:sz w:val="22"/>
                <w:szCs w:val="22"/>
              </w:rPr>
              <w:t>2</w:t>
            </w:r>
            <w:r w:rsidRPr="00F66F92">
              <w:rPr>
                <w:b/>
                <w:sz w:val="22"/>
                <w:szCs w:val="22"/>
              </w:rPr>
              <w:t>5%</w:t>
            </w:r>
          </w:p>
        </w:tc>
        <w:tc>
          <w:tcPr>
            <w:tcW w:w="2061" w:type="pct"/>
          </w:tcPr>
          <w:p w14:paraId="1B11BBFD" w14:textId="77777777" w:rsidR="00F66F92" w:rsidRPr="009D07C7" w:rsidRDefault="00F66F92" w:rsidP="00F65C29">
            <w:pPr>
              <w:pStyle w:val="Text3"/>
              <w:snapToGrid w:val="0"/>
              <w:spacing w:after="0"/>
              <w:ind w:left="0"/>
              <w:rPr>
                <w:sz w:val="22"/>
                <w:szCs w:val="22"/>
                <w:lang w:val="lv-LV"/>
              </w:rPr>
            </w:pPr>
            <w:r w:rsidRPr="00F66F92">
              <w:rPr>
                <w:sz w:val="22"/>
                <w:szCs w:val="22"/>
                <w:lang w:val="lv-LV"/>
              </w:rPr>
              <w:t xml:space="preserve">Attiecas uz gadījumiem, ja konstatēta neatbilstība, kura nav atrunāta citos šo vadlīniju </w:t>
            </w:r>
            <w:r w:rsidR="00F65C29">
              <w:rPr>
                <w:sz w:val="22"/>
                <w:szCs w:val="22"/>
                <w:lang w:val="lv-LV"/>
              </w:rPr>
              <w:t>5</w:t>
            </w:r>
            <w:r w:rsidRPr="00F66F92">
              <w:rPr>
                <w:sz w:val="22"/>
                <w:szCs w:val="22"/>
                <w:lang w:val="lv-LV"/>
              </w:rPr>
              <w:t xml:space="preserve">.pielikumā minētajos neatbilstību </w:t>
            </w:r>
            <w:r w:rsidRPr="00F66F92">
              <w:rPr>
                <w:sz w:val="22"/>
                <w:szCs w:val="22"/>
                <w:lang w:val="lv-LV"/>
              </w:rPr>
              <w:lastRenderedPageBreak/>
              <w:t>aprakstos, bet, ņemot vērā neatbilstības būtiskumu</w:t>
            </w:r>
            <w:r w:rsidR="00F65C29" w:rsidRPr="002D727A">
              <w:rPr>
                <w:rStyle w:val="FootnoteReference"/>
                <w:sz w:val="22"/>
                <w:szCs w:val="22"/>
              </w:rPr>
              <w:footnoteReference w:id="16"/>
            </w:r>
            <w:r w:rsidRPr="002D727A">
              <w:rPr>
                <w:sz w:val="22"/>
                <w:szCs w:val="22"/>
                <w:lang w:val="lv-LV"/>
              </w:rPr>
              <w:t>,</w:t>
            </w:r>
            <w:r w:rsidRPr="00F66F92">
              <w:rPr>
                <w:sz w:val="22"/>
                <w:szCs w:val="22"/>
                <w:lang w:val="lv-LV"/>
              </w:rPr>
              <w:t xml:space="preserve"> ir pamats piemērot </w:t>
            </w:r>
            <w:r>
              <w:rPr>
                <w:sz w:val="22"/>
                <w:szCs w:val="22"/>
                <w:lang w:val="lv-LV"/>
              </w:rPr>
              <w:t>25</w:t>
            </w:r>
            <w:r w:rsidRPr="00F66F92">
              <w:rPr>
                <w:sz w:val="22"/>
                <w:szCs w:val="22"/>
                <w:lang w:val="lv-LV"/>
              </w:rPr>
              <w:t xml:space="preserve">% finanšu korekciju.  </w:t>
            </w:r>
          </w:p>
        </w:tc>
        <w:tc>
          <w:tcPr>
            <w:tcW w:w="937" w:type="pct"/>
            <w:gridSpan w:val="2"/>
          </w:tcPr>
          <w:p w14:paraId="12659681" w14:textId="77777777" w:rsidR="00F66F92" w:rsidRPr="009D07C7" w:rsidRDefault="00F66F92" w:rsidP="00E65D59">
            <w:pPr>
              <w:pStyle w:val="Text3"/>
              <w:snapToGrid w:val="0"/>
              <w:spacing w:after="0"/>
              <w:ind w:left="0"/>
              <w:rPr>
                <w:sz w:val="22"/>
                <w:szCs w:val="22"/>
                <w:lang w:val="lv-LV"/>
              </w:rPr>
            </w:pPr>
            <w:r>
              <w:rPr>
                <w:sz w:val="22"/>
                <w:szCs w:val="22"/>
                <w:lang w:val="lv-LV"/>
              </w:rPr>
              <w:lastRenderedPageBreak/>
              <w:t>25%</w:t>
            </w:r>
          </w:p>
        </w:tc>
      </w:tr>
      <w:tr w:rsidR="00F66F92" w:rsidRPr="009D07C7" w14:paraId="5CD978CD" w14:textId="77777777" w:rsidTr="009838BC">
        <w:tc>
          <w:tcPr>
            <w:tcW w:w="276" w:type="pct"/>
          </w:tcPr>
          <w:p w14:paraId="15ECF0FF" w14:textId="77777777" w:rsidR="00F66F92" w:rsidRPr="009D07C7" w:rsidRDefault="00F66F92" w:rsidP="00E65D59">
            <w:pPr>
              <w:numPr>
                <w:ilvl w:val="0"/>
                <w:numId w:val="1"/>
              </w:numPr>
              <w:jc w:val="both"/>
              <w:rPr>
                <w:sz w:val="22"/>
                <w:szCs w:val="22"/>
              </w:rPr>
            </w:pPr>
          </w:p>
        </w:tc>
        <w:tc>
          <w:tcPr>
            <w:tcW w:w="1726" w:type="pct"/>
          </w:tcPr>
          <w:p w14:paraId="3DE61B16" w14:textId="77777777" w:rsidR="00F66F92" w:rsidRPr="00F66F92" w:rsidRDefault="00F66F92" w:rsidP="00F66F92">
            <w:pPr>
              <w:jc w:val="both"/>
              <w:rPr>
                <w:b/>
                <w:sz w:val="22"/>
                <w:szCs w:val="22"/>
              </w:rPr>
            </w:pPr>
            <w:r w:rsidRPr="00F66F92">
              <w:rPr>
                <w:b/>
                <w:sz w:val="22"/>
                <w:szCs w:val="22"/>
              </w:rPr>
              <w:t xml:space="preserve">Vispārīgs punkts par proporcionālās finanšu korekcijas apmēru – </w:t>
            </w:r>
            <w:r>
              <w:rPr>
                <w:b/>
                <w:sz w:val="22"/>
                <w:szCs w:val="22"/>
              </w:rPr>
              <w:t>10</w:t>
            </w:r>
            <w:r w:rsidRPr="00F66F92">
              <w:rPr>
                <w:b/>
                <w:sz w:val="22"/>
                <w:szCs w:val="22"/>
              </w:rPr>
              <w:t>%</w:t>
            </w:r>
          </w:p>
        </w:tc>
        <w:tc>
          <w:tcPr>
            <w:tcW w:w="2061" w:type="pct"/>
          </w:tcPr>
          <w:p w14:paraId="3FA9FA87" w14:textId="77777777" w:rsidR="00F66F92" w:rsidRPr="009D07C7" w:rsidRDefault="00F66F92" w:rsidP="00F65C29">
            <w:pPr>
              <w:pStyle w:val="Text3"/>
              <w:snapToGrid w:val="0"/>
              <w:spacing w:after="0"/>
              <w:ind w:left="0"/>
              <w:rPr>
                <w:sz w:val="22"/>
                <w:szCs w:val="22"/>
                <w:lang w:val="lv-LV"/>
              </w:rPr>
            </w:pPr>
            <w:r w:rsidRPr="00F66F92">
              <w:rPr>
                <w:sz w:val="22"/>
                <w:szCs w:val="22"/>
                <w:lang w:val="lv-LV"/>
              </w:rPr>
              <w:t xml:space="preserve">Attiecas uz gadījumiem, ja konstatēta neatbilstība, kura nav atrunāta citos šo vadlīniju </w:t>
            </w:r>
            <w:r w:rsidR="00F65C29">
              <w:rPr>
                <w:sz w:val="22"/>
                <w:szCs w:val="22"/>
                <w:lang w:val="lv-LV"/>
              </w:rPr>
              <w:t>5</w:t>
            </w:r>
            <w:r w:rsidRPr="00F66F92">
              <w:rPr>
                <w:sz w:val="22"/>
                <w:szCs w:val="22"/>
                <w:lang w:val="lv-LV"/>
              </w:rPr>
              <w:t xml:space="preserve">.pielikumā minētajos neatbilstību aprakstos, bet, ņemot vērā neatbilstības būtiskumu, ir pamats piemērot </w:t>
            </w:r>
            <w:r>
              <w:rPr>
                <w:sz w:val="22"/>
                <w:szCs w:val="22"/>
                <w:lang w:val="lv-LV"/>
              </w:rPr>
              <w:t>10</w:t>
            </w:r>
            <w:r w:rsidRPr="00F66F92">
              <w:rPr>
                <w:sz w:val="22"/>
                <w:szCs w:val="22"/>
                <w:lang w:val="lv-LV"/>
              </w:rPr>
              <w:t xml:space="preserve">% finanšu korekciju.  </w:t>
            </w:r>
          </w:p>
        </w:tc>
        <w:tc>
          <w:tcPr>
            <w:tcW w:w="937" w:type="pct"/>
            <w:gridSpan w:val="2"/>
          </w:tcPr>
          <w:p w14:paraId="76FCD738" w14:textId="77777777" w:rsidR="00F66F92" w:rsidRPr="009D07C7" w:rsidRDefault="00F66F92" w:rsidP="00E65D59">
            <w:pPr>
              <w:pStyle w:val="Text3"/>
              <w:snapToGrid w:val="0"/>
              <w:spacing w:after="0"/>
              <w:ind w:left="0"/>
              <w:rPr>
                <w:sz w:val="22"/>
                <w:szCs w:val="22"/>
                <w:lang w:val="lv-LV"/>
              </w:rPr>
            </w:pPr>
            <w:r>
              <w:rPr>
                <w:sz w:val="22"/>
                <w:szCs w:val="22"/>
                <w:lang w:val="lv-LV"/>
              </w:rPr>
              <w:t>10%</w:t>
            </w:r>
          </w:p>
        </w:tc>
      </w:tr>
      <w:tr w:rsidR="000A6D4F" w:rsidRPr="009D07C7" w14:paraId="39CF5BF7" w14:textId="77777777" w:rsidTr="00987C37">
        <w:tc>
          <w:tcPr>
            <w:tcW w:w="276" w:type="pct"/>
          </w:tcPr>
          <w:p w14:paraId="1DFC3B3F" w14:textId="77777777" w:rsidR="000A6D4F" w:rsidRPr="009D07C7" w:rsidRDefault="000A6D4F" w:rsidP="00E65D59">
            <w:pPr>
              <w:numPr>
                <w:ilvl w:val="0"/>
                <w:numId w:val="1"/>
              </w:numPr>
              <w:rPr>
                <w:sz w:val="22"/>
                <w:szCs w:val="22"/>
              </w:rPr>
            </w:pPr>
          </w:p>
        </w:tc>
        <w:tc>
          <w:tcPr>
            <w:tcW w:w="1726" w:type="pct"/>
          </w:tcPr>
          <w:p w14:paraId="7079B381" w14:textId="77777777" w:rsidR="000A6D4F" w:rsidRPr="009D07C7" w:rsidRDefault="000A6D4F" w:rsidP="00E65D59">
            <w:pPr>
              <w:rPr>
                <w:sz w:val="22"/>
                <w:szCs w:val="22"/>
              </w:rPr>
            </w:pPr>
            <w:r w:rsidRPr="00EE2394">
              <w:rPr>
                <w:b/>
                <w:sz w:val="22"/>
                <w:szCs w:val="22"/>
              </w:rPr>
              <w:t>Vispārīgs punkts par proporcionālās finanšu korekcijas apmēru</w:t>
            </w:r>
            <w:r w:rsidRPr="009D07C7">
              <w:rPr>
                <w:sz w:val="22"/>
                <w:szCs w:val="22"/>
              </w:rPr>
              <w:t xml:space="preserve"> – 5%</w:t>
            </w:r>
          </w:p>
        </w:tc>
        <w:tc>
          <w:tcPr>
            <w:tcW w:w="2061" w:type="pct"/>
          </w:tcPr>
          <w:p w14:paraId="07E850FB" w14:textId="77777777" w:rsidR="000A6D4F" w:rsidRPr="009D07C7" w:rsidRDefault="000A6D4F" w:rsidP="00F65C29">
            <w:pPr>
              <w:jc w:val="both"/>
              <w:rPr>
                <w:sz w:val="22"/>
                <w:szCs w:val="22"/>
              </w:rPr>
            </w:pPr>
            <w:r w:rsidRPr="009D07C7">
              <w:rPr>
                <w:sz w:val="22"/>
                <w:szCs w:val="22"/>
              </w:rPr>
              <w:t xml:space="preserve">Attiecas uz </w:t>
            </w:r>
            <w:r w:rsidR="00F66F92">
              <w:rPr>
                <w:sz w:val="22"/>
                <w:szCs w:val="22"/>
              </w:rPr>
              <w:t xml:space="preserve">gadījumiem, ja konstatēta neatbilstība, kura nav atrunāta citos šo vadlīniju </w:t>
            </w:r>
            <w:r w:rsidR="00F65C29">
              <w:rPr>
                <w:sz w:val="22"/>
                <w:szCs w:val="22"/>
              </w:rPr>
              <w:t>5</w:t>
            </w:r>
            <w:r w:rsidR="00F66F92">
              <w:rPr>
                <w:sz w:val="22"/>
                <w:szCs w:val="22"/>
              </w:rPr>
              <w:t xml:space="preserve">.pielikumā minētajos neatbilstību aprakstos, bet, ņemot vērā neatbilstības būtiskumu, ir pamats piemērot 5% finanšu korekciju. </w:t>
            </w:r>
            <w:r w:rsidRPr="009D07C7">
              <w:rPr>
                <w:sz w:val="22"/>
                <w:szCs w:val="22"/>
              </w:rPr>
              <w:t xml:space="preserve"> </w:t>
            </w:r>
          </w:p>
        </w:tc>
        <w:tc>
          <w:tcPr>
            <w:tcW w:w="937" w:type="pct"/>
            <w:gridSpan w:val="2"/>
          </w:tcPr>
          <w:p w14:paraId="76775D0F" w14:textId="77777777" w:rsidR="00596012" w:rsidRDefault="00596012" w:rsidP="00F66F92">
            <w:pPr>
              <w:jc w:val="both"/>
              <w:rPr>
                <w:sz w:val="22"/>
                <w:szCs w:val="22"/>
              </w:rPr>
            </w:pPr>
            <w:r>
              <w:rPr>
                <w:sz w:val="22"/>
                <w:szCs w:val="22"/>
              </w:rPr>
              <w:t>5%</w:t>
            </w:r>
          </w:p>
          <w:p w14:paraId="5C3A0B46" w14:textId="77777777" w:rsidR="000A6D4F" w:rsidRPr="009D07C7" w:rsidRDefault="00282385" w:rsidP="00F66F92">
            <w:pPr>
              <w:jc w:val="both"/>
              <w:rPr>
                <w:sz w:val="22"/>
                <w:szCs w:val="22"/>
              </w:rPr>
            </w:pPr>
            <w:r>
              <w:rPr>
                <w:sz w:val="22"/>
                <w:szCs w:val="22"/>
              </w:rPr>
              <w:t>Korekciju 5</w:t>
            </w:r>
            <w:r w:rsidR="000A6D4F" w:rsidRPr="009D07C7">
              <w:rPr>
                <w:sz w:val="22"/>
                <w:szCs w:val="22"/>
              </w:rPr>
              <w:t>% apmērā lietderīgi pielietot arī gadījumos, kad ir konstatējamas neatbilstības pēc būtības ar augstāku korekcijas likmi, bet var pamatot, ka konkrētā neatbilstība nav būtiska. Izvērtē katru gadījumu atsevišķi, var nebūt precedenta gadījumi.</w:t>
            </w:r>
          </w:p>
        </w:tc>
      </w:tr>
      <w:tr w:rsidR="000A6D4F" w:rsidRPr="009D07C7" w14:paraId="1F2C90BA" w14:textId="77777777" w:rsidTr="00987C37">
        <w:tc>
          <w:tcPr>
            <w:tcW w:w="276" w:type="pct"/>
          </w:tcPr>
          <w:p w14:paraId="6307DCE8" w14:textId="77777777" w:rsidR="000A6D4F" w:rsidRPr="009D07C7" w:rsidRDefault="000A6D4F" w:rsidP="00E65D59">
            <w:pPr>
              <w:numPr>
                <w:ilvl w:val="0"/>
                <w:numId w:val="1"/>
              </w:numPr>
              <w:rPr>
                <w:sz w:val="22"/>
                <w:szCs w:val="22"/>
              </w:rPr>
            </w:pPr>
          </w:p>
        </w:tc>
        <w:tc>
          <w:tcPr>
            <w:tcW w:w="1726" w:type="pct"/>
          </w:tcPr>
          <w:p w14:paraId="3FB2A9BE" w14:textId="77777777" w:rsidR="000A6D4F" w:rsidRPr="009D07C7" w:rsidRDefault="000A6D4F" w:rsidP="00E65D59">
            <w:pPr>
              <w:rPr>
                <w:sz w:val="22"/>
                <w:szCs w:val="22"/>
              </w:rPr>
            </w:pPr>
            <w:r w:rsidRPr="009D07C7">
              <w:rPr>
                <w:sz w:val="22"/>
                <w:szCs w:val="22"/>
              </w:rPr>
              <w:t>Vispārīgs punkts par proporcionālas finanšu korekcijas apmēru 2%</w:t>
            </w:r>
          </w:p>
        </w:tc>
        <w:tc>
          <w:tcPr>
            <w:tcW w:w="2061" w:type="pct"/>
          </w:tcPr>
          <w:p w14:paraId="4426A25C" w14:textId="77777777" w:rsidR="000A6D4F" w:rsidRPr="009D07C7" w:rsidRDefault="00F66F92" w:rsidP="00F65C29">
            <w:pPr>
              <w:jc w:val="both"/>
              <w:rPr>
                <w:sz w:val="22"/>
                <w:szCs w:val="22"/>
              </w:rPr>
            </w:pPr>
            <w:r w:rsidRPr="00F66F92">
              <w:rPr>
                <w:sz w:val="22"/>
                <w:szCs w:val="22"/>
              </w:rPr>
              <w:t xml:space="preserve">Attiecas uz gadījumiem, ja konstatēta neatbilstība, kura nav atrunāta citos šo vadlīniju </w:t>
            </w:r>
            <w:r w:rsidR="00F65C29">
              <w:rPr>
                <w:sz w:val="22"/>
                <w:szCs w:val="22"/>
              </w:rPr>
              <w:t>5</w:t>
            </w:r>
            <w:r w:rsidRPr="00F66F92">
              <w:rPr>
                <w:sz w:val="22"/>
                <w:szCs w:val="22"/>
              </w:rPr>
              <w:t xml:space="preserve">.pielikumā minētajos neatbilstību aprakstos, bet, ņemot vērā neatbilstības būtiskumu, ir pamats piemērot </w:t>
            </w:r>
            <w:r>
              <w:rPr>
                <w:sz w:val="22"/>
                <w:szCs w:val="22"/>
              </w:rPr>
              <w:t>2</w:t>
            </w:r>
            <w:r w:rsidRPr="00F66F92">
              <w:rPr>
                <w:sz w:val="22"/>
                <w:szCs w:val="22"/>
              </w:rPr>
              <w:t xml:space="preserve">% finanšu korekciju.  </w:t>
            </w:r>
          </w:p>
        </w:tc>
        <w:tc>
          <w:tcPr>
            <w:tcW w:w="937" w:type="pct"/>
            <w:gridSpan w:val="2"/>
          </w:tcPr>
          <w:p w14:paraId="192F7014" w14:textId="77777777" w:rsidR="00596012" w:rsidRDefault="00596012" w:rsidP="00F66F92">
            <w:pPr>
              <w:jc w:val="both"/>
              <w:rPr>
                <w:sz w:val="22"/>
                <w:szCs w:val="22"/>
              </w:rPr>
            </w:pPr>
            <w:r>
              <w:rPr>
                <w:sz w:val="22"/>
                <w:szCs w:val="22"/>
              </w:rPr>
              <w:t>2%</w:t>
            </w:r>
          </w:p>
          <w:p w14:paraId="4BEB5BC6" w14:textId="77777777" w:rsidR="000A6D4F" w:rsidRPr="009D07C7" w:rsidRDefault="000A6D4F" w:rsidP="00282385">
            <w:pPr>
              <w:jc w:val="both"/>
              <w:rPr>
                <w:sz w:val="22"/>
                <w:szCs w:val="22"/>
              </w:rPr>
            </w:pPr>
            <w:r w:rsidRPr="009D07C7">
              <w:rPr>
                <w:sz w:val="22"/>
                <w:szCs w:val="22"/>
              </w:rPr>
              <w:t xml:space="preserve">Korekcijas apmērus palielina no 2% </w:t>
            </w:r>
            <w:r w:rsidR="00F66F92">
              <w:rPr>
                <w:sz w:val="22"/>
                <w:szCs w:val="22"/>
              </w:rPr>
              <w:t>uz</w:t>
            </w:r>
            <w:r w:rsidRPr="009D07C7">
              <w:rPr>
                <w:sz w:val="22"/>
                <w:szCs w:val="22"/>
              </w:rPr>
              <w:t xml:space="preserve"> 5%, ja pēc pirmās veiktās izdevumu korekcijas atklāj tādu pašu neatbilstību un atbildīgā institūcija pēc pirmās korekcijas nav veikusi vajadzīgos koriģējošos pasākumus attiecībā uz neatbilstības novēršanu.</w:t>
            </w:r>
          </w:p>
        </w:tc>
      </w:tr>
      <w:tr w:rsidR="000A6D4F" w:rsidRPr="009D07C7" w14:paraId="32F91C9C" w14:textId="77777777" w:rsidTr="00987C37">
        <w:tc>
          <w:tcPr>
            <w:tcW w:w="276" w:type="pct"/>
          </w:tcPr>
          <w:p w14:paraId="0BB8E23A" w14:textId="77777777" w:rsidR="000A6D4F" w:rsidRPr="009D07C7" w:rsidRDefault="000A6D4F" w:rsidP="00E65D59">
            <w:pPr>
              <w:numPr>
                <w:ilvl w:val="0"/>
                <w:numId w:val="1"/>
              </w:numPr>
              <w:rPr>
                <w:sz w:val="22"/>
                <w:szCs w:val="22"/>
              </w:rPr>
            </w:pPr>
          </w:p>
        </w:tc>
        <w:tc>
          <w:tcPr>
            <w:tcW w:w="1726" w:type="pct"/>
          </w:tcPr>
          <w:p w14:paraId="4ECB7674" w14:textId="77777777" w:rsidR="000A6D4F" w:rsidRPr="009D07C7" w:rsidRDefault="000A6D4F" w:rsidP="000A6D4F">
            <w:pPr>
              <w:jc w:val="both"/>
              <w:rPr>
                <w:sz w:val="22"/>
                <w:szCs w:val="22"/>
              </w:rPr>
            </w:pPr>
            <w:r w:rsidRPr="009D07C7">
              <w:rPr>
                <w:sz w:val="22"/>
                <w:szCs w:val="22"/>
              </w:rPr>
              <w:t>Vispārīgs punkts par proporcionālās finanšu korekcijas piemērošanu gadījumos, kad konstatēts dubultfinansējums</w:t>
            </w:r>
          </w:p>
        </w:tc>
        <w:tc>
          <w:tcPr>
            <w:tcW w:w="2061" w:type="pct"/>
          </w:tcPr>
          <w:p w14:paraId="6E8C207F" w14:textId="77777777" w:rsidR="000A6D4F" w:rsidRPr="009D07C7" w:rsidRDefault="000A6D4F" w:rsidP="00E65D59">
            <w:pPr>
              <w:jc w:val="both"/>
              <w:rPr>
                <w:sz w:val="22"/>
                <w:szCs w:val="22"/>
              </w:rPr>
            </w:pPr>
            <w:r w:rsidRPr="009D07C7">
              <w:rPr>
                <w:sz w:val="22"/>
                <w:szCs w:val="22"/>
              </w:rPr>
              <w:t>Attiecas uz visiem iepriekš minētajiem gadījumiem.</w:t>
            </w:r>
          </w:p>
          <w:p w14:paraId="10C7989B" w14:textId="77777777" w:rsidR="000A6D4F" w:rsidRPr="009D07C7" w:rsidRDefault="000A6D4F" w:rsidP="00E65D59">
            <w:pPr>
              <w:jc w:val="both"/>
              <w:rPr>
                <w:sz w:val="22"/>
                <w:szCs w:val="22"/>
              </w:rPr>
            </w:pPr>
          </w:p>
          <w:p w14:paraId="54363E82" w14:textId="77777777" w:rsidR="000A6D4F" w:rsidRPr="009D07C7" w:rsidRDefault="000A6D4F" w:rsidP="00E65D59">
            <w:pPr>
              <w:jc w:val="both"/>
              <w:rPr>
                <w:sz w:val="22"/>
                <w:szCs w:val="22"/>
              </w:rPr>
            </w:pPr>
          </w:p>
        </w:tc>
        <w:tc>
          <w:tcPr>
            <w:tcW w:w="937" w:type="pct"/>
            <w:gridSpan w:val="2"/>
          </w:tcPr>
          <w:p w14:paraId="4008F704" w14:textId="77777777" w:rsidR="000A6D4F" w:rsidRPr="009D07C7" w:rsidRDefault="000A6D4F" w:rsidP="00E65D59">
            <w:pPr>
              <w:jc w:val="both"/>
              <w:rPr>
                <w:sz w:val="22"/>
                <w:szCs w:val="22"/>
              </w:rPr>
            </w:pPr>
            <w:r w:rsidRPr="009D07C7">
              <w:rPr>
                <w:sz w:val="22"/>
                <w:szCs w:val="22"/>
              </w:rPr>
              <w:t>Ja iestāde konstatējusi, ka projekta ietvaros veiktās darbības pārklājas ar cita ES fonda (vai cita finanšu instrumenta) projekta ietvaros veiktajām darbībām, vai apdraud cita ES fonda (vai cita finanšu instrumenta) projekta ietvaros radīto vērtību ilgtspējību, kā rezultātā konstatēts dubultfinansējuma risks, kas ietekmē vai apdraud ES fondu projekta izmaksu attiecināmību un tā mērķa, rādītāju sasniegšanu, piemērojama korekcija darbību, kuras pārklājas</w:t>
            </w:r>
            <w:r w:rsidR="00286F0A">
              <w:rPr>
                <w:sz w:val="22"/>
                <w:szCs w:val="22"/>
              </w:rPr>
              <w:t>,</w:t>
            </w:r>
            <w:r w:rsidRPr="009D07C7">
              <w:rPr>
                <w:sz w:val="22"/>
                <w:szCs w:val="22"/>
              </w:rPr>
              <w:t xml:space="preserve"> izmaksu apjomā.</w:t>
            </w:r>
          </w:p>
        </w:tc>
      </w:tr>
      <w:tr w:rsidR="000A6D4F" w:rsidRPr="00E65D59" w14:paraId="41FA6B4D" w14:textId="77777777" w:rsidTr="00987C37">
        <w:tc>
          <w:tcPr>
            <w:tcW w:w="276" w:type="pct"/>
          </w:tcPr>
          <w:p w14:paraId="19CB6371" w14:textId="77777777" w:rsidR="000A6D4F" w:rsidRPr="009D07C7" w:rsidRDefault="000A6D4F" w:rsidP="00E65D59">
            <w:pPr>
              <w:numPr>
                <w:ilvl w:val="0"/>
                <w:numId w:val="1"/>
              </w:numPr>
              <w:rPr>
                <w:sz w:val="22"/>
                <w:szCs w:val="22"/>
              </w:rPr>
            </w:pPr>
          </w:p>
        </w:tc>
        <w:tc>
          <w:tcPr>
            <w:tcW w:w="1726" w:type="pct"/>
          </w:tcPr>
          <w:p w14:paraId="2AB2A691" w14:textId="77777777" w:rsidR="000A6D4F" w:rsidRDefault="000A6D4F" w:rsidP="008C467A">
            <w:pPr>
              <w:jc w:val="both"/>
              <w:rPr>
                <w:sz w:val="22"/>
                <w:szCs w:val="22"/>
              </w:rPr>
            </w:pPr>
            <w:r w:rsidRPr="009D07C7">
              <w:rPr>
                <w:sz w:val="22"/>
                <w:szCs w:val="22"/>
              </w:rPr>
              <w:t>Finanšu korekcijas apjoms saturiski nekvalitatīvu projekta nodevumu gadījumā.</w:t>
            </w:r>
          </w:p>
          <w:p w14:paraId="22ACCB37" w14:textId="77777777" w:rsidR="00563C91" w:rsidRDefault="00563C91" w:rsidP="008C467A">
            <w:pPr>
              <w:jc w:val="both"/>
              <w:rPr>
                <w:sz w:val="22"/>
                <w:szCs w:val="22"/>
              </w:rPr>
            </w:pPr>
          </w:p>
          <w:p w14:paraId="59FCBBD8" w14:textId="77777777" w:rsidR="00563C91" w:rsidRPr="009D07C7" w:rsidRDefault="00563C91" w:rsidP="008C467A">
            <w:pPr>
              <w:jc w:val="both"/>
              <w:rPr>
                <w:sz w:val="22"/>
                <w:szCs w:val="22"/>
              </w:rPr>
            </w:pPr>
          </w:p>
        </w:tc>
        <w:tc>
          <w:tcPr>
            <w:tcW w:w="2061" w:type="pct"/>
          </w:tcPr>
          <w:p w14:paraId="4FBF3685" w14:textId="77777777" w:rsidR="000A6D4F" w:rsidRDefault="000A6D4F" w:rsidP="00C8474D">
            <w:pPr>
              <w:jc w:val="both"/>
              <w:rPr>
                <w:sz w:val="22"/>
                <w:szCs w:val="22"/>
              </w:rPr>
            </w:pPr>
            <w:r w:rsidRPr="009D07C7">
              <w:rPr>
                <w:sz w:val="22"/>
                <w:szCs w:val="22"/>
              </w:rPr>
              <w:t xml:space="preserve">Gadījumos, kad līgumā nodevumus ir iespējams finansiāli nodalīt, finanšu korekciju piemēro tikai nekvalitatīvajam nodevumam (katram nodevumam atsevišķa samaksa), </w:t>
            </w:r>
            <w:r w:rsidR="00C8474D">
              <w:rPr>
                <w:sz w:val="22"/>
                <w:szCs w:val="22"/>
              </w:rPr>
              <w:t>piemērojot</w:t>
            </w:r>
            <w:r w:rsidR="004F0714">
              <w:rPr>
                <w:sz w:val="22"/>
                <w:szCs w:val="22"/>
              </w:rPr>
              <w:t xml:space="preserve"> </w:t>
            </w:r>
            <w:r w:rsidR="00C8474D">
              <w:rPr>
                <w:sz w:val="22"/>
                <w:szCs w:val="22"/>
              </w:rPr>
              <w:t>finanšu korekciju</w:t>
            </w:r>
            <w:r w:rsidRPr="009D07C7">
              <w:rPr>
                <w:sz w:val="22"/>
                <w:szCs w:val="22"/>
              </w:rPr>
              <w:t xml:space="preserve"> par veikto samaksu. </w:t>
            </w:r>
          </w:p>
          <w:p w14:paraId="759B591D" w14:textId="77777777" w:rsidR="00563C91" w:rsidRDefault="00563C91" w:rsidP="00C8474D">
            <w:pPr>
              <w:jc w:val="both"/>
              <w:rPr>
                <w:sz w:val="22"/>
                <w:szCs w:val="22"/>
              </w:rPr>
            </w:pPr>
          </w:p>
          <w:p w14:paraId="63B6B4B4" w14:textId="77777777" w:rsidR="00563C91" w:rsidRPr="009D07C7" w:rsidRDefault="00563C91" w:rsidP="00C8474D">
            <w:pPr>
              <w:jc w:val="both"/>
              <w:rPr>
                <w:sz w:val="22"/>
                <w:szCs w:val="22"/>
              </w:rPr>
            </w:pPr>
            <w:r>
              <w:rPr>
                <w:sz w:val="22"/>
                <w:szCs w:val="22"/>
              </w:rPr>
              <w:t xml:space="preserve">Piemēram, par nekvalitatīvu nodevumu var uzskatīt plaģiātu. Nekvalitatīva nodevuma konstatēšanai nepieciešamības gadījumā var organizēt ekspertu komisiju. </w:t>
            </w:r>
          </w:p>
        </w:tc>
        <w:tc>
          <w:tcPr>
            <w:tcW w:w="937" w:type="pct"/>
            <w:gridSpan w:val="2"/>
          </w:tcPr>
          <w:p w14:paraId="733F514D" w14:textId="77777777" w:rsidR="000A6D4F" w:rsidRDefault="000A6D4F" w:rsidP="00E65D59">
            <w:pPr>
              <w:jc w:val="both"/>
              <w:rPr>
                <w:sz w:val="22"/>
                <w:szCs w:val="22"/>
              </w:rPr>
            </w:pPr>
            <w:r w:rsidRPr="009D07C7">
              <w:rPr>
                <w:sz w:val="22"/>
                <w:szCs w:val="22"/>
              </w:rPr>
              <w:t>100% korekcija, ja tiek pieņemts lēmums, ka nodevums nav atbilstošas kvalitātes.</w:t>
            </w:r>
            <w:r w:rsidRPr="00E65D59">
              <w:rPr>
                <w:sz w:val="22"/>
                <w:szCs w:val="22"/>
              </w:rPr>
              <w:t xml:space="preserve"> </w:t>
            </w:r>
          </w:p>
          <w:p w14:paraId="5F1EF719" w14:textId="77777777" w:rsidR="00C8474D" w:rsidRPr="00E65D59" w:rsidRDefault="00C8474D" w:rsidP="00C8474D">
            <w:pPr>
              <w:jc w:val="both"/>
              <w:rPr>
                <w:sz w:val="22"/>
                <w:szCs w:val="22"/>
              </w:rPr>
            </w:pPr>
            <w:r w:rsidRPr="00C8474D">
              <w:rPr>
                <w:sz w:val="22"/>
                <w:szCs w:val="22"/>
              </w:rPr>
              <w:t xml:space="preserve">Var samazināt uz </w:t>
            </w:r>
            <w:r>
              <w:rPr>
                <w:sz w:val="22"/>
                <w:szCs w:val="22"/>
              </w:rPr>
              <w:t xml:space="preserve">25%, </w:t>
            </w:r>
            <w:r w:rsidRPr="00C8474D">
              <w:rPr>
                <w:sz w:val="22"/>
                <w:szCs w:val="22"/>
              </w:rPr>
              <w:t xml:space="preserve">10% vai 5%, atkarībā no </w:t>
            </w:r>
            <w:r>
              <w:rPr>
                <w:sz w:val="22"/>
                <w:szCs w:val="22"/>
              </w:rPr>
              <w:t>kvalitātes trūkuma pakāpes un ietekmes uz projekta rezultātu, mērķu sasniegšanu.</w:t>
            </w:r>
          </w:p>
        </w:tc>
      </w:tr>
    </w:tbl>
    <w:p w14:paraId="3EF32E0F" w14:textId="77777777" w:rsidR="00810144" w:rsidRDefault="00810144"/>
    <w:sectPr w:rsidR="00810144" w:rsidSect="00B426E1">
      <w:headerReference w:type="even" r:id="rId9"/>
      <w:headerReference w:type="default" r:id="rId10"/>
      <w:footerReference w:type="even" r:id="rId11"/>
      <w:footerReference w:type="default" r:id="rId12"/>
      <w:headerReference w:type="first" r:id="rId13"/>
      <w:footerReference w:type="first" r:id="rId14"/>
      <w:pgSz w:w="16838" w:h="11906" w:orient="landscape"/>
      <w:pgMar w:top="1418" w:right="1134" w:bottom="1134"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04E64" w14:textId="77777777" w:rsidR="009E6506" w:rsidRDefault="009E6506" w:rsidP="001B0993">
      <w:r>
        <w:separator/>
      </w:r>
    </w:p>
  </w:endnote>
  <w:endnote w:type="continuationSeparator" w:id="0">
    <w:p w14:paraId="101C4258" w14:textId="77777777" w:rsidR="009E6506" w:rsidRDefault="009E6506" w:rsidP="001B0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43" w:usb2="00000009" w:usb3="00000000" w:csb0="000001F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B1286" w14:textId="77777777" w:rsidR="00947A8D" w:rsidRDefault="00947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5DE96" w14:textId="203E31CA" w:rsidR="002913DE" w:rsidRDefault="002913DE">
    <w:pPr>
      <w:pStyle w:val="Footer"/>
      <w:jc w:val="center"/>
    </w:pPr>
    <w:r>
      <w:fldChar w:fldCharType="begin"/>
    </w:r>
    <w:r>
      <w:instrText xml:space="preserve"> PAGE   \* MERGEFORMAT </w:instrText>
    </w:r>
    <w:r>
      <w:fldChar w:fldCharType="separate"/>
    </w:r>
    <w:r w:rsidR="0005409E">
      <w:rPr>
        <w:noProof/>
      </w:rPr>
      <w:t>21</w:t>
    </w:r>
    <w:r>
      <w:rPr>
        <w:noProof/>
      </w:rPr>
      <w:fldChar w:fldCharType="end"/>
    </w:r>
  </w:p>
  <w:p w14:paraId="3F9903C6" w14:textId="77777777" w:rsidR="002913DE" w:rsidRDefault="002913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C3D18" w14:textId="77777777" w:rsidR="00947A8D" w:rsidRDefault="00947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6815F" w14:textId="77777777" w:rsidR="009E6506" w:rsidRDefault="009E6506" w:rsidP="001B0993">
      <w:r>
        <w:separator/>
      </w:r>
    </w:p>
  </w:footnote>
  <w:footnote w:type="continuationSeparator" w:id="0">
    <w:p w14:paraId="2EC00DD1" w14:textId="77777777" w:rsidR="009E6506" w:rsidRDefault="009E6506" w:rsidP="001B0993">
      <w:r>
        <w:continuationSeparator/>
      </w:r>
    </w:p>
  </w:footnote>
  <w:footnote w:id="1">
    <w:p w14:paraId="6415BDC1" w14:textId="65B32FFB" w:rsidR="00950C8C" w:rsidRDefault="00950C8C" w:rsidP="005A1266">
      <w:pPr>
        <w:pStyle w:val="FootnoteText"/>
        <w:jc w:val="both"/>
      </w:pPr>
      <w:r>
        <w:rPr>
          <w:rStyle w:val="FootnoteReference"/>
        </w:rPr>
        <w:footnoteRef/>
      </w:r>
      <w:r>
        <w:t xml:space="preserve"> </w:t>
      </w:r>
      <w:r w:rsidR="00DD77EE" w:rsidRPr="00DD77EE">
        <w:t>Saskaņā ar Deleģētās Regu</w:t>
      </w:r>
      <w:r w:rsidR="00361A9B">
        <w:t>las (ES) Nr.</w:t>
      </w:r>
      <w:r w:rsidR="00DD77EE" w:rsidRPr="00DD77EE">
        <w:t>480/2014  30.panta 2.punktu galvenie nopietno trūkumu veidi, kuri pastāv pārvaldības un kontroles sistēmas efektīvā darbībā, ir tie gadījumi, kad tiek novērtēts, ka jebkura no galvenajām prasībām, kas minētas šīs Deleģētās Regulas IV pielikuma 1. tabulas 2., 4., 5., 13., 15., 16. un 18.punktā, vai divas vai vairākas no pārējām galvenajām prasībām, kas minētas šīs Deleģētās Regulas IV pielikuma 1. tabulā, ietilpst šīs Deleģētās Regulas IV pielikuma 2. tabulā noteiktajā 3. vai 4. kategorijā.</w:t>
      </w:r>
    </w:p>
  </w:footnote>
  <w:footnote w:id="2">
    <w:p w14:paraId="311D8A9A" w14:textId="77777777" w:rsidR="000A6D4F" w:rsidRDefault="000A6D4F">
      <w:pPr>
        <w:pStyle w:val="FootnoteText"/>
      </w:pPr>
      <w:r w:rsidRPr="00CD5B78">
        <w:rPr>
          <w:rStyle w:val="FootnoteReference"/>
        </w:rPr>
        <w:footnoteRef/>
      </w:r>
      <w:r w:rsidRPr="00CD5B78">
        <w:t xml:space="preserve"> http://www.esfondi.lv/upload/01-strukturfondi/petijumi/20110307_Dea_Baltika_zinojums.pdf</w:t>
      </w:r>
    </w:p>
  </w:footnote>
  <w:footnote w:id="3">
    <w:p w14:paraId="555B0897" w14:textId="77777777" w:rsidR="000A6D4F" w:rsidRDefault="000A6D4F">
      <w:pPr>
        <w:pStyle w:val="FootnoteText"/>
      </w:pPr>
      <w:r w:rsidRPr="00CD5B78">
        <w:rPr>
          <w:rStyle w:val="FootnoteReference"/>
        </w:rPr>
        <w:footnoteRef/>
      </w:r>
      <w:r w:rsidRPr="00CD5B78">
        <w:t xml:space="preserve"> http://www.esfondi.lv/upload/01-strukturfondi/petijumi/20110307_Dea_Baltika_zinojums.pdf</w:t>
      </w:r>
    </w:p>
  </w:footnote>
  <w:footnote w:id="4">
    <w:p w14:paraId="2065701C" w14:textId="77777777" w:rsidR="004B63B0" w:rsidRDefault="00D84A37" w:rsidP="004B63B0">
      <w:pPr>
        <w:pStyle w:val="ListParagraph"/>
        <w:ind w:left="0"/>
        <w:contextualSpacing w:val="0"/>
        <w:jc w:val="both"/>
        <w:rPr>
          <w:rStyle w:val="Hyperlink"/>
          <w:sz w:val="20"/>
          <w:szCs w:val="20"/>
        </w:rPr>
      </w:pPr>
      <w:r>
        <w:rPr>
          <w:rStyle w:val="FootnoteReference"/>
        </w:rPr>
        <w:footnoteRef/>
      </w:r>
      <w:r>
        <w:t xml:space="preserve"> </w:t>
      </w:r>
      <w:r w:rsidRPr="004B63B0">
        <w:rPr>
          <w:sz w:val="20"/>
          <w:szCs w:val="20"/>
        </w:rPr>
        <w:t xml:space="preserve">Skatīt arī </w:t>
      </w:r>
      <w:r w:rsidRPr="004B63B0">
        <w:rPr>
          <w:rStyle w:val="Hyperlink"/>
          <w:color w:val="auto"/>
          <w:sz w:val="20"/>
          <w:szCs w:val="20"/>
          <w:u w:val="none"/>
        </w:rPr>
        <w:t>EK vadlīnijas par viltotu dokumentu identificēšanu (angļu valodā):</w:t>
      </w:r>
      <w:r w:rsidRPr="004B63B0">
        <w:rPr>
          <w:rStyle w:val="Hyperlink"/>
          <w:sz w:val="20"/>
          <w:szCs w:val="20"/>
        </w:rPr>
        <w:t xml:space="preserve"> </w:t>
      </w:r>
    </w:p>
    <w:p w14:paraId="6E8AA12F" w14:textId="77777777" w:rsidR="00D84A37" w:rsidRDefault="0005409E" w:rsidP="004B63B0">
      <w:pPr>
        <w:pStyle w:val="ListParagraph"/>
        <w:ind w:left="0"/>
        <w:contextualSpacing w:val="0"/>
        <w:jc w:val="both"/>
        <w:rPr>
          <w:rStyle w:val="Hyperlink"/>
          <w:color w:val="auto"/>
          <w:sz w:val="22"/>
          <w:u w:val="none"/>
        </w:rPr>
      </w:pPr>
      <w:hyperlink r:id="rId1" w:history="1">
        <w:r w:rsidR="00D84A37" w:rsidRPr="004B63B0">
          <w:rPr>
            <w:rStyle w:val="Hyperlink"/>
            <w:sz w:val="20"/>
            <w:szCs w:val="20"/>
          </w:rPr>
          <w:t>http://www.esfondi.lv/upload/02-kohezijas_fonds/Lielie_projekti/EK_vadl_par_viltotu_dok_identif_EN.pdf</w:t>
        </w:r>
      </w:hyperlink>
      <w:r w:rsidR="00D84A37">
        <w:rPr>
          <w:rStyle w:val="Hyperlink"/>
        </w:rPr>
        <w:t xml:space="preserve"> </w:t>
      </w:r>
    </w:p>
    <w:p w14:paraId="57567F0F" w14:textId="77777777" w:rsidR="00D84A37" w:rsidRDefault="00D84A37">
      <w:pPr>
        <w:pStyle w:val="FootnoteText"/>
      </w:pPr>
    </w:p>
  </w:footnote>
  <w:footnote w:id="5">
    <w:p w14:paraId="2C554D60" w14:textId="77777777" w:rsidR="00603709" w:rsidRDefault="00603709">
      <w:pPr>
        <w:pStyle w:val="FootnoteText"/>
      </w:pPr>
      <w:r>
        <w:rPr>
          <w:rStyle w:val="FootnoteReference"/>
        </w:rPr>
        <w:footnoteRef/>
      </w:r>
      <w:r>
        <w:t xml:space="preserve"> Skatīt arī vadlīniju </w:t>
      </w:r>
      <w:r w:rsidRPr="00810074">
        <w:t>2</w:t>
      </w:r>
      <w:r w:rsidR="00810074" w:rsidRPr="00810074">
        <w:t>5</w:t>
      </w:r>
      <w:r w:rsidRPr="00810074">
        <w:t>.9.punktu</w:t>
      </w:r>
    </w:p>
  </w:footnote>
  <w:footnote w:id="6">
    <w:p w14:paraId="5F861711" w14:textId="77777777" w:rsidR="000A6D4F" w:rsidRPr="003F0E9A" w:rsidRDefault="000A6D4F" w:rsidP="004B63B0">
      <w:pPr>
        <w:pStyle w:val="FootnoteText"/>
        <w:jc w:val="both"/>
      </w:pPr>
      <w:r w:rsidRPr="00A62549">
        <w:rPr>
          <w:rStyle w:val="FootnoteReference"/>
        </w:rPr>
        <w:footnoteRef/>
      </w:r>
      <w:r w:rsidRPr="00A62549">
        <w:t xml:space="preserve"> </w:t>
      </w:r>
      <w:r w:rsidR="00660911">
        <w:t xml:space="preserve">t.sk., </w:t>
      </w:r>
      <w:r w:rsidRPr="00CD5B78">
        <w:t>Eiropas Parlamenta un P</w:t>
      </w:r>
      <w:r w:rsidR="00536D59">
        <w:t>adomes Regula (ES, Euratom) Nr.966/2012 ( 2012.</w:t>
      </w:r>
      <w:r w:rsidRPr="00CD5B78">
        <w:t>gada 25. oktobris ) par finanšu noteikumiem, ko piemēro Savienības vispārējam budžetam, un par Pa</w:t>
      </w:r>
      <w:r w:rsidR="00536D59">
        <w:t>domes Regulas (EK, Euratom) Nr.</w:t>
      </w:r>
      <w:r w:rsidRPr="00CD5B78">
        <w:t xml:space="preserve">1605/2002 </w:t>
      </w:r>
      <w:r w:rsidRPr="009153B4">
        <w:t xml:space="preserve">atcelšanu; </w:t>
      </w:r>
      <w:r w:rsidR="004B63B0">
        <w:t xml:space="preserve"> </w:t>
      </w:r>
      <w:r w:rsidRPr="00A62549">
        <w:t>Ministru kabineta 06.04.2013. noteikumi Nr.299 „Noteikumi par iepirkuma procedūru un tās piemērošanas kārtību pasūtītāja finansētiem projektiem”.</w:t>
      </w:r>
      <w:r w:rsidRPr="00CD5B78">
        <w:t xml:space="preserve"> </w:t>
      </w:r>
    </w:p>
  </w:footnote>
  <w:footnote w:id="7">
    <w:p w14:paraId="362FD40C" w14:textId="77777777" w:rsidR="000A6D4F" w:rsidRPr="003F0E9A" w:rsidRDefault="000A6D4F" w:rsidP="003F0E9A">
      <w:pPr>
        <w:pStyle w:val="FootnoteText"/>
        <w:jc w:val="both"/>
        <w:rPr>
          <w:bCs/>
        </w:rPr>
      </w:pPr>
      <w:r>
        <w:rPr>
          <w:rStyle w:val="FootnoteReference"/>
        </w:rPr>
        <w:footnoteRef/>
      </w:r>
      <w:r>
        <w:t xml:space="preserve"> </w:t>
      </w:r>
      <w:r w:rsidR="003F0E9A" w:rsidRPr="003F0E9A">
        <w:rPr>
          <w:rStyle w:val="Strong"/>
          <w:b w:val="0"/>
        </w:rPr>
        <w:t>KOMISI</w:t>
      </w:r>
      <w:r w:rsidR="00355B70">
        <w:rPr>
          <w:rStyle w:val="Strong"/>
          <w:b w:val="0"/>
        </w:rPr>
        <w:t xml:space="preserve">JAS </w:t>
      </w:r>
      <w:r w:rsidR="008601BE">
        <w:rPr>
          <w:rStyle w:val="Strong"/>
          <w:b w:val="0"/>
        </w:rPr>
        <w:t>2014.</w:t>
      </w:r>
      <w:r w:rsidR="008601BE" w:rsidRPr="003F0E9A">
        <w:rPr>
          <w:rStyle w:val="Strong"/>
          <w:b w:val="0"/>
        </w:rPr>
        <w:t>gada 28.jūlij</w:t>
      </w:r>
      <w:r w:rsidR="008601BE">
        <w:rPr>
          <w:rStyle w:val="Strong"/>
          <w:b w:val="0"/>
        </w:rPr>
        <w:t xml:space="preserve">a </w:t>
      </w:r>
      <w:r w:rsidR="00355B70">
        <w:rPr>
          <w:rStyle w:val="Strong"/>
          <w:b w:val="0"/>
        </w:rPr>
        <w:t>ĪSTENOŠANAS REGULA (ES) Nr.</w:t>
      </w:r>
      <w:r w:rsidR="003F0E9A" w:rsidRPr="003F0E9A">
        <w:rPr>
          <w:rStyle w:val="Strong"/>
          <w:b w:val="0"/>
        </w:rPr>
        <w:t>821/2014, ar ko paredz noteikumus par to, kā piemērot Eiropas Parlam</w:t>
      </w:r>
      <w:r w:rsidR="00355B70">
        <w:rPr>
          <w:rStyle w:val="Strong"/>
          <w:b w:val="0"/>
        </w:rPr>
        <w:t>enta un Padomes Regulu (ES) Nr.</w:t>
      </w:r>
      <w:r w:rsidR="003F0E9A" w:rsidRPr="003F0E9A">
        <w:rPr>
          <w:rStyle w:val="Strong"/>
          <w:b w:val="0"/>
        </w:rPr>
        <w:t>1303/2013 attiecībā uz sīki izstrādātiem noteikumiem par programmas ieguldījumu pārskaitīšanu un pārvaldību, ziņošanu par finanšu instrumentiem, informācijas un komunikācijas pasākumu tehniskajiem rādītājiem, kas attiecas uz darbību, un datu reģistrēšanas un glabāšanas sistēmu</w:t>
      </w:r>
    </w:p>
  </w:footnote>
  <w:footnote w:id="8">
    <w:p w14:paraId="63E6A746" w14:textId="6F1BF1A9" w:rsidR="00AB3D99" w:rsidRDefault="00AB3D99" w:rsidP="005A1266">
      <w:pPr>
        <w:pStyle w:val="FootnoteText"/>
        <w:jc w:val="both"/>
      </w:pPr>
      <w:r>
        <w:rPr>
          <w:rStyle w:val="FootnoteReference"/>
        </w:rPr>
        <w:footnoteRef/>
      </w:r>
      <w:r w:rsidR="005A1266">
        <w:t xml:space="preserve"> </w:t>
      </w:r>
      <w:r w:rsidRPr="00AB3D99">
        <w:t>Eirop</w:t>
      </w:r>
      <w:r w:rsidR="00791B67">
        <w:t>as Savienības fondu 2014.-2020.</w:t>
      </w:r>
      <w:r w:rsidRPr="00AB3D99">
        <w:t xml:space="preserve">gada plānošanas perioda publicitātes vadlīnijas Eiropas Savienības fondu finansējuma saņēmējiem </w:t>
      </w:r>
      <w:r>
        <w:t xml:space="preserve"> (Nr.2.4.) </w:t>
      </w:r>
      <w:hyperlink r:id="rId2" w:history="1">
        <w:r w:rsidRPr="007960AD">
          <w:rPr>
            <w:rStyle w:val="Hyperlink"/>
          </w:rPr>
          <w:t>http://www.esfondi.lv/page.php?id=1196</w:t>
        </w:r>
      </w:hyperlink>
      <w:r>
        <w:t xml:space="preserve"> </w:t>
      </w:r>
    </w:p>
  </w:footnote>
  <w:footnote w:id="9">
    <w:p w14:paraId="22AC1D3F" w14:textId="77777777" w:rsidR="000F4391" w:rsidRDefault="000F4391" w:rsidP="005A1266">
      <w:pPr>
        <w:pStyle w:val="FootnoteText"/>
        <w:jc w:val="both"/>
      </w:pPr>
      <w:r>
        <w:rPr>
          <w:rStyle w:val="FootnoteReference"/>
        </w:rPr>
        <w:footnoteRef/>
      </w:r>
      <w:r>
        <w:t xml:space="preserve"> </w:t>
      </w:r>
      <w:r w:rsidRPr="000F4391">
        <w:t>Ministru kabineta 10.02.2015.</w:t>
      </w:r>
      <w:r>
        <w:t xml:space="preserve"> noteikumi Nr.77 “</w:t>
      </w:r>
      <w:r w:rsidRPr="000F4391">
        <w:t>Eiropas Savienības struktūrfondu un Kohēzijas fonda projektu pārbaužu veikšanas kārtība 2014.–2020.gada plānošanas periodā</w:t>
      </w:r>
      <w:r>
        <w:t xml:space="preserve">” </w:t>
      </w:r>
    </w:p>
  </w:footnote>
  <w:footnote w:id="10">
    <w:p w14:paraId="3FEAB42E" w14:textId="77777777" w:rsidR="001740D3" w:rsidRDefault="001740D3" w:rsidP="005A1266">
      <w:pPr>
        <w:pStyle w:val="FootnoteText"/>
      </w:pPr>
      <w:r>
        <w:rPr>
          <w:rStyle w:val="FootnoteReference"/>
        </w:rPr>
        <w:footnoteRef/>
      </w:r>
      <w:r>
        <w:t xml:space="preserve"> Sadaļa par iepirkumiem izveidota saskaņā ar EK 19.12.2013 vadlīnijām. Plašāka informācija pieejama šeit: </w:t>
      </w:r>
      <w:hyperlink r:id="rId3" w:history="1">
        <w:r w:rsidRPr="008A01CD">
          <w:rPr>
            <w:rStyle w:val="Hyperlink"/>
          </w:rPr>
          <w:t>http://ec.europa.eu/regional_policy/sources/docoffic/cocof/2013/cocof_13_9527_annexe_en.pdf</w:t>
        </w:r>
      </w:hyperlink>
      <w:r>
        <w:t xml:space="preserve"> </w:t>
      </w:r>
    </w:p>
  </w:footnote>
  <w:footnote w:id="11">
    <w:p w14:paraId="2A0F2EB1" w14:textId="77777777" w:rsidR="000A6D4F" w:rsidRDefault="000A6D4F" w:rsidP="000A6D4F">
      <w:pPr>
        <w:pStyle w:val="FootnoteText"/>
      </w:pPr>
      <w:r>
        <w:rPr>
          <w:rStyle w:val="FootnoteReference"/>
        </w:rPr>
        <w:footnoteRef/>
      </w:r>
      <w:r>
        <w:t xml:space="preserve"> Pieejams internetā. </w:t>
      </w:r>
    </w:p>
  </w:footnote>
  <w:footnote w:id="12">
    <w:p w14:paraId="237EF7F2" w14:textId="77777777" w:rsidR="00A2172D" w:rsidRDefault="00A2172D" w:rsidP="005A1266">
      <w:pPr>
        <w:pStyle w:val="FootnoteText"/>
        <w:jc w:val="both"/>
      </w:pPr>
      <w:r>
        <w:rPr>
          <w:rStyle w:val="FootnoteReference"/>
        </w:rPr>
        <w:footnoteRef/>
      </w:r>
      <w:r>
        <w:t xml:space="preserve"> Guidelines for determining financial corrections to be made to expenditure financed by the Union under shared management, for non-compliance with the rules on public procurement; </w:t>
      </w:r>
      <w:hyperlink r:id="rId4" w:history="1">
        <w:r w:rsidRPr="00BC2F3A">
          <w:rPr>
            <w:rStyle w:val="Hyperlink"/>
          </w:rPr>
          <w:t>http://www.esfondi.lv/upload/00-vadlinijas/vadlinijas_2014/Vadliniju_pielikums.pdf</w:t>
        </w:r>
      </w:hyperlink>
      <w:r>
        <w:t xml:space="preserve"> </w:t>
      </w:r>
    </w:p>
  </w:footnote>
  <w:footnote w:id="13">
    <w:p w14:paraId="58FAC8DE" w14:textId="77777777" w:rsidR="000A6D4F" w:rsidRDefault="000A6D4F" w:rsidP="000A6D4F">
      <w:pPr>
        <w:pStyle w:val="FootnoteText"/>
      </w:pPr>
      <w:r>
        <w:rPr>
          <w:rStyle w:val="FootnoteReference"/>
        </w:rPr>
        <w:footnoteRef/>
      </w:r>
      <w:r>
        <w:t xml:space="preserve"> Pieejams internetā. </w:t>
      </w:r>
    </w:p>
  </w:footnote>
  <w:footnote w:id="14">
    <w:p w14:paraId="27F8D134" w14:textId="77777777" w:rsidR="000A6D4F" w:rsidRDefault="000A6D4F">
      <w:pPr>
        <w:pStyle w:val="FootnoteText"/>
      </w:pPr>
      <w:r>
        <w:rPr>
          <w:rStyle w:val="FootnoteReference"/>
        </w:rPr>
        <w:footnoteRef/>
      </w:r>
      <w:r>
        <w:t xml:space="preserve"> Pieejams internetā. </w:t>
      </w:r>
    </w:p>
  </w:footnote>
  <w:footnote w:id="15">
    <w:p w14:paraId="0F7E8897" w14:textId="77777777" w:rsidR="00D84A37" w:rsidRDefault="00D84A37" w:rsidP="004B63B0">
      <w:pPr>
        <w:pStyle w:val="ListParagraph"/>
        <w:ind w:left="0"/>
        <w:contextualSpacing w:val="0"/>
        <w:jc w:val="both"/>
        <w:rPr>
          <w:rStyle w:val="Hyperlink"/>
          <w:color w:val="auto"/>
          <w:sz w:val="22"/>
          <w:u w:val="none"/>
        </w:rPr>
      </w:pPr>
      <w:r>
        <w:rPr>
          <w:rStyle w:val="FootnoteReference"/>
        </w:rPr>
        <w:footnoteRef/>
      </w:r>
      <w:r>
        <w:t xml:space="preserve">  </w:t>
      </w:r>
      <w:r w:rsidRPr="004B63B0">
        <w:rPr>
          <w:sz w:val="20"/>
          <w:szCs w:val="20"/>
        </w:rPr>
        <w:t xml:space="preserve">Skatīt arī </w:t>
      </w:r>
      <w:r w:rsidRPr="004B63B0">
        <w:rPr>
          <w:rStyle w:val="Hyperlink"/>
          <w:color w:val="auto"/>
          <w:sz w:val="20"/>
          <w:szCs w:val="20"/>
          <w:u w:val="none"/>
        </w:rPr>
        <w:t xml:space="preserve">EK vadlīnijas par interešu konflikta identificēšanu publiskajos iepirkumos (angļu valodā): </w:t>
      </w:r>
      <w:hyperlink r:id="rId5" w:history="1">
        <w:r w:rsidRPr="004B63B0">
          <w:rPr>
            <w:rStyle w:val="Hyperlink"/>
            <w:sz w:val="20"/>
            <w:szCs w:val="20"/>
          </w:rPr>
          <w:t>http://www.esfondi.lv/upload/02-kohezijas_fonds/Lielie_projekti/EK_vadl_par_interesu_konflikta_identif_publ_iepirk_EN.pdf</w:t>
        </w:r>
      </w:hyperlink>
      <w:r>
        <w:rPr>
          <w:rStyle w:val="Hyperlink"/>
          <w:color w:val="auto"/>
          <w:u w:val="none"/>
        </w:rPr>
        <w:t xml:space="preserve"> </w:t>
      </w:r>
    </w:p>
    <w:p w14:paraId="044AD463" w14:textId="77777777" w:rsidR="00D84A37" w:rsidRDefault="00D84A37">
      <w:pPr>
        <w:pStyle w:val="FootnoteText"/>
      </w:pPr>
    </w:p>
  </w:footnote>
  <w:footnote w:id="16">
    <w:p w14:paraId="45C2910A" w14:textId="77777777" w:rsidR="00F65C29" w:rsidRDefault="00F65C29" w:rsidP="00F65C29">
      <w:pPr>
        <w:pStyle w:val="FootnoteText"/>
        <w:jc w:val="both"/>
      </w:pPr>
      <w:r>
        <w:rPr>
          <w:rStyle w:val="FootnoteReference"/>
        </w:rPr>
        <w:footnoteRef/>
      </w:r>
      <w:r>
        <w:t xml:space="preserve"> Nosakot proporcionālās finanšu korekcijas apmēru un vērtējot neatbilstības būtiskumu, ņem vērā vismaz šādus aspektus: </w:t>
      </w:r>
      <w:r w:rsidR="002871AE">
        <w:t xml:space="preserve">neatbilstības būtība un apstākļi (piemēram, vai neatbilstība izdarīta atkārtoti), ietekme uz ES un </w:t>
      </w:r>
      <w:r w:rsidR="00623DD4">
        <w:t>LV</w:t>
      </w:r>
      <w:r w:rsidR="002871AE">
        <w:t xml:space="preserve"> budžetu, neatbilstības sekas </w:t>
      </w:r>
      <w:r w:rsidR="00432C85">
        <w:t xml:space="preserve">(piemēram, ja nebūtu izdarīts pārkāpums, būtu cits rezultāts) </w:t>
      </w:r>
      <w:r w:rsidR="002871AE">
        <w:t xml:space="preserve">un </w:t>
      </w:r>
      <w:r w:rsidR="00432C85">
        <w:t>ietekme (piemēram, neatbilstība skar vairākus iesaistītos)</w:t>
      </w:r>
      <w:r>
        <w:t xml:space="preserve">, savukārt attiecībā uz iepirkumu pārkāpumiem vērtē </w:t>
      </w:r>
      <w:r w:rsidR="002871AE">
        <w:t xml:space="preserve">arī </w:t>
      </w:r>
      <w:r>
        <w:t xml:space="preserve">ietekmi uz konkurenci, caurspīdīguma principa ievērošanas līmeni un vienlīdzīgas attieksmes ievērošanas pakāpi. </w:t>
      </w:r>
      <w:r w:rsidR="002871AE">
        <w:t xml:space="preserve">Skaidrojums attiecināms arī uz šo vadlīniju 5.pielikuma 42.-44.punktu.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3C97E" w14:textId="77777777" w:rsidR="000A6D4F" w:rsidRDefault="000A6D4F" w:rsidP="00BC13D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45ADCE" w14:textId="77777777" w:rsidR="000A6D4F" w:rsidRDefault="000A6D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FCA1D" w14:textId="77777777" w:rsidR="00947A8D" w:rsidRDefault="00947A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3891"/>
      <w:gridCol w:w="1446"/>
      <w:gridCol w:w="2126"/>
      <w:gridCol w:w="2268"/>
    </w:tblGrid>
    <w:tr w:rsidR="00DD7534" w:rsidRPr="0058714B" w14:paraId="1FC520AF" w14:textId="77777777" w:rsidTr="00545496">
      <w:trPr>
        <w:trHeight w:val="889"/>
        <w:jc w:val="center"/>
      </w:trPr>
      <w:tc>
        <w:tcPr>
          <w:tcW w:w="4390" w:type="dxa"/>
        </w:tcPr>
        <w:p w14:paraId="6AD4F8D5" w14:textId="77777777" w:rsidR="00DD7534" w:rsidRPr="0058714B" w:rsidRDefault="00DD7534" w:rsidP="00DD7534">
          <w:pPr>
            <w:tabs>
              <w:tab w:val="center" w:pos="4153"/>
              <w:tab w:val="right" w:pos="8306"/>
            </w:tabs>
            <w:ind w:right="360"/>
            <w:jc w:val="both"/>
            <w:rPr>
              <w:rFonts w:eastAsia="Calibri"/>
              <w:sz w:val="18"/>
              <w:szCs w:val="22"/>
              <w:lang w:eastAsia="en-US"/>
            </w:rPr>
          </w:pPr>
          <w:r w:rsidRPr="0058714B">
            <w:rPr>
              <w:rFonts w:eastAsia="Calibri"/>
              <w:sz w:val="18"/>
              <w:szCs w:val="22"/>
              <w:lang w:eastAsia="en-US"/>
            </w:rPr>
            <w:t>Iestāde:</w:t>
          </w:r>
          <w:r w:rsidRPr="0058714B">
            <w:rPr>
              <w:rFonts w:eastAsia="Calibri"/>
              <w:b/>
              <w:bCs/>
              <w:sz w:val="18"/>
              <w:szCs w:val="22"/>
              <w:lang w:eastAsia="en-US"/>
            </w:rPr>
            <w:t xml:space="preserve"> Finanšu ministrija</w:t>
          </w:r>
        </w:p>
        <w:p w14:paraId="075B00E3" w14:textId="77777777" w:rsidR="00DD7534" w:rsidRPr="0058714B" w:rsidRDefault="00DD7534" w:rsidP="00DD7534">
          <w:pPr>
            <w:tabs>
              <w:tab w:val="center" w:pos="4153"/>
              <w:tab w:val="right" w:pos="8306"/>
            </w:tabs>
            <w:jc w:val="both"/>
            <w:rPr>
              <w:rFonts w:eastAsia="Calibri"/>
              <w:b/>
              <w:bCs/>
              <w:sz w:val="18"/>
              <w:szCs w:val="22"/>
              <w:lang w:eastAsia="en-US"/>
            </w:rPr>
          </w:pPr>
          <w:r w:rsidRPr="0058714B">
            <w:rPr>
              <w:rFonts w:eastAsia="Calibri"/>
              <w:sz w:val="18"/>
              <w:szCs w:val="22"/>
              <w:lang w:eastAsia="en-US"/>
            </w:rPr>
            <w:t>Struktūrvienība:</w:t>
          </w:r>
          <w:r w:rsidRPr="0058714B">
            <w:rPr>
              <w:rFonts w:eastAsia="Calibri"/>
              <w:b/>
              <w:bCs/>
              <w:sz w:val="18"/>
              <w:szCs w:val="22"/>
              <w:lang w:eastAsia="en-US"/>
            </w:rPr>
            <w:t xml:space="preserve"> </w:t>
          </w:r>
        </w:p>
        <w:p w14:paraId="493DC188" w14:textId="77777777" w:rsidR="00DD7534" w:rsidRPr="0058714B" w:rsidRDefault="00DD7534" w:rsidP="00DD7534">
          <w:pPr>
            <w:tabs>
              <w:tab w:val="center" w:pos="4153"/>
              <w:tab w:val="right" w:pos="8306"/>
            </w:tabs>
            <w:jc w:val="both"/>
            <w:rPr>
              <w:rFonts w:eastAsia="Calibri"/>
              <w:b/>
              <w:bCs/>
              <w:sz w:val="18"/>
              <w:szCs w:val="22"/>
              <w:lang w:eastAsia="en-US"/>
            </w:rPr>
          </w:pPr>
          <w:r w:rsidRPr="0058714B">
            <w:rPr>
              <w:rFonts w:eastAsia="Calibri"/>
              <w:b/>
              <w:bCs/>
              <w:sz w:val="18"/>
              <w:szCs w:val="22"/>
              <w:lang w:eastAsia="en-US"/>
            </w:rPr>
            <w:t>Eiropas Savienības fondu vadības un kontroles departaments</w:t>
          </w:r>
        </w:p>
      </w:tc>
      <w:tc>
        <w:tcPr>
          <w:tcW w:w="3891" w:type="dxa"/>
        </w:tcPr>
        <w:p w14:paraId="613659AB" w14:textId="77777777" w:rsidR="00DD7534" w:rsidRPr="0058714B" w:rsidRDefault="00DD7534" w:rsidP="00DD7534">
          <w:pPr>
            <w:tabs>
              <w:tab w:val="center" w:pos="4153"/>
              <w:tab w:val="right" w:pos="8306"/>
            </w:tabs>
            <w:rPr>
              <w:rFonts w:eastAsia="Calibri"/>
              <w:sz w:val="18"/>
              <w:szCs w:val="22"/>
              <w:lang w:eastAsia="en-US"/>
            </w:rPr>
          </w:pPr>
        </w:p>
      </w:tc>
      <w:tc>
        <w:tcPr>
          <w:tcW w:w="5840" w:type="dxa"/>
          <w:gridSpan w:val="3"/>
        </w:tcPr>
        <w:p w14:paraId="7D1AD819" w14:textId="77777777" w:rsidR="00DD7534" w:rsidRPr="0058714B" w:rsidRDefault="00DD7534" w:rsidP="00DD7534">
          <w:pPr>
            <w:tabs>
              <w:tab w:val="center" w:pos="4153"/>
              <w:tab w:val="right" w:pos="8306"/>
            </w:tabs>
            <w:rPr>
              <w:rFonts w:eastAsia="Calibri"/>
              <w:sz w:val="18"/>
              <w:szCs w:val="22"/>
              <w:lang w:eastAsia="en-US"/>
            </w:rPr>
          </w:pPr>
          <w:r w:rsidRPr="0058714B">
            <w:rPr>
              <w:rFonts w:eastAsia="Calibri"/>
              <w:sz w:val="18"/>
              <w:szCs w:val="22"/>
              <w:lang w:eastAsia="en-US"/>
            </w:rPr>
            <w:t>Dokumenta nosaukums:</w:t>
          </w:r>
        </w:p>
        <w:p w14:paraId="09E13544" w14:textId="77777777" w:rsidR="00DD7534" w:rsidRPr="0058714B" w:rsidRDefault="008F4B34" w:rsidP="008F4B34">
          <w:pPr>
            <w:jc w:val="both"/>
            <w:rPr>
              <w:rFonts w:eastAsia="Calibri"/>
              <w:b/>
              <w:sz w:val="18"/>
              <w:szCs w:val="20"/>
              <w:lang w:eastAsia="en-US"/>
            </w:rPr>
          </w:pPr>
          <w:r w:rsidRPr="0058714B">
            <w:rPr>
              <w:rFonts w:eastAsia="Calibri"/>
              <w:b/>
              <w:sz w:val="18"/>
              <w:szCs w:val="20"/>
              <w:lang w:eastAsia="en-US"/>
            </w:rPr>
            <w:t xml:space="preserve">Vadlīnijas </w:t>
          </w:r>
          <w:r w:rsidR="00DD7534" w:rsidRPr="0058714B">
            <w:rPr>
              <w:rFonts w:eastAsia="Calibri"/>
              <w:b/>
              <w:sz w:val="18"/>
              <w:szCs w:val="20"/>
              <w:lang w:eastAsia="en-US"/>
            </w:rPr>
            <w:t>par finanšu korekciju piemērošanu, ziņošanu par Eiropas Savienības fondu ieviešanā konstatētajām neatbilstībām, neatbilstoši veikto izdevumu atgūšanu 2014.-2020.gada plānošanas periodā</w:t>
          </w:r>
        </w:p>
      </w:tc>
    </w:tr>
    <w:tr w:rsidR="00DD7534" w:rsidRPr="0058714B" w14:paraId="3F1A982F" w14:textId="77777777" w:rsidTr="00947A8D">
      <w:trPr>
        <w:trHeight w:val="934"/>
        <w:jc w:val="center"/>
      </w:trPr>
      <w:tc>
        <w:tcPr>
          <w:tcW w:w="4390" w:type="dxa"/>
          <w:tcBorders>
            <w:top w:val="single" w:sz="2" w:space="0" w:color="auto"/>
            <w:bottom w:val="single" w:sz="12" w:space="0" w:color="auto"/>
          </w:tcBorders>
        </w:tcPr>
        <w:p w14:paraId="6883AF24" w14:textId="77777777" w:rsidR="00DD7534" w:rsidRPr="0058714B" w:rsidRDefault="00DD7534" w:rsidP="00DD7534">
          <w:pPr>
            <w:tabs>
              <w:tab w:val="center" w:pos="4153"/>
              <w:tab w:val="right" w:pos="8306"/>
            </w:tabs>
            <w:rPr>
              <w:rFonts w:eastAsia="Calibri"/>
              <w:b/>
              <w:bCs/>
              <w:sz w:val="18"/>
              <w:szCs w:val="22"/>
              <w:lang w:eastAsia="en-US"/>
            </w:rPr>
          </w:pPr>
          <w:r w:rsidRPr="0058714B">
            <w:rPr>
              <w:rFonts w:eastAsia="Calibri"/>
              <w:sz w:val="18"/>
              <w:szCs w:val="22"/>
              <w:lang w:eastAsia="en-US"/>
            </w:rPr>
            <w:t>Sagatavoja:</w:t>
          </w:r>
          <w:r w:rsidRPr="0058714B">
            <w:rPr>
              <w:rFonts w:eastAsia="Calibri"/>
              <w:b/>
              <w:bCs/>
              <w:sz w:val="18"/>
              <w:szCs w:val="22"/>
              <w:lang w:eastAsia="en-US"/>
            </w:rPr>
            <w:t xml:space="preserve"> </w:t>
          </w:r>
        </w:p>
        <w:p w14:paraId="1EE2E28E" w14:textId="77777777" w:rsidR="00DD7534" w:rsidRPr="0058714B" w:rsidRDefault="00DD7534" w:rsidP="00DD7534">
          <w:pPr>
            <w:tabs>
              <w:tab w:val="center" w:pos="4153"/>
              <w:tab w:val="right" w:pos="8306"/>
            </w:tabs>
            <w:jc w:val="both"/>
            <w:rPr>
              <w:rFonts w:eastAsia="Calibri"/>
              <w:sz w:val="18"/>
              <w:szCs w:val="22"/>
              <w:lang w:eastAsia="en-US"/>
            </w:rPr>
          </w:pPr>
          <w:r w:rsidRPr="0058714B">
            <w:rPr>
              <w:rFonts w:eastAsia="Calibri"/>
              <w:b/>
              <w:bCs/>
              <w:sz w:val="18"/>
              <w:szCs w:val="22"/>
              <w:lang w:eastAsia="en-US"/>
            </w:rPr>
            <w:t>Eiropas Savienības fondu ieviešanas vadības nodaļa</w:t>
          </w:r>
        </w:p>
      </w:tc>
      <w:tc>
        <w:tcPr>
          <w:tcW w:w="3891" w:type="dxa"/>
          <w:tcBorders>
            <w:top w:val="single" w:sz="2" w:space="0" w:color="auto"/>
            <w:bottom w:val="single" w:sz="12" w:space="0" w:color="auto"/>
          </w:tcBorders>
        </w:tcPr>
        <w:p w14:paraId="011A1956" w14:textId="77777777" w:rsidR="00DD7534" w:rsidRPr="0058714B" w:rsidRDefault="00DD7534" w:rsidP="00DD7534">
          <w:pPr>
            <w:tabs>
              <w:tab w:val="center" w:pos="4153"/>
              <w:tab w:val="right" w:pos="8306"/>
            </w:tabs>
            <w:rPr>
              <w:rFonts w:eastAsia="Calibri"/>
              <w:b/>
              <w:bCs/>
              <w:sz w:val="18"/>
              <w:szCs w:val="22"/>
              <w:lang w:eastAsia="en-US"/>
            </w:rPr>
          </w:pPr>
          <w:r w:rsidRPr="0058714B">
            <w:rPr>
              <w:rFonts w:eastAsia="Calibri"/>
              <w:sz w:val="18"/>
              <w:szCs w:val="22"/>
              <w:lang w:eastAsia="en-US"/>
            </w:rPr>
            <w:t xml:space="preserve">Apstiprināts: </w:t>
          </w:r>
          <w:r w:rsidRPr="0058714B">
            <w:rPr>
              <w:rFonts w:eastAsia="Calibri"/>
              <w:b/>
              <w:bCs/>
              <w:sz w:val="18"/>
              <w:szCs w:val="22"/>
              <w:lang w:eastAsia="en-US"/>
            </w:rPr>
            <w:t xml:space="preserve"> </w:t>
          </w:r>
        </w:p>
        <w:p w14:paraId="14520BF0" w14:textId="3E068CE8" w:rsidR="00545496" w:rsidRPr="0058714B" w:rsidRDefault="00947A8D" w:rsidP="00947A8D">
          <w:pPr>
            <w:tabs>
              <w:tab w:val="center" w:pos="4153"/>
              <w:tab w:val="right" w:pos="8306"/>
            </w:tabs>
            <w:rPr>
              <w:rFonts w:eastAsia="Calibri"/>
              <w:sz w:val="18"/>
              <w:szCs w:val="22"/>
              <w:lang w:eastAsia="en-US"/>
            </w:rPr>
          </w:pPr>
          <w:r w:rsidRPr="00947A8D">
            <w:rPr>
              <w:rFonts w:eastAsia="Calibri"/>
              <w:b/>
              <w:bCs/>
              <w:sz w:val="18"/>
              <w:szCs w:val="22"/>
              <w:lang w:eastAsia="en-US"/>
            </w:rPr>
            <w:t xml:space="preserve">Vadošās iestādes vadītāja vietā – Eiropas Savienības fondu uzraudzības departamenta direktore </w:t>
          </w:r>
          <w:proofErr w:type="spellStart"/>
          <w:r w:rsidRPr="00947A8D">
            <w:rPr>
              <w:rFonts w:eastAsia="Calibri"/>
              <w:b/>
              <w:bCs/>
              <w:sz w:val="18"/>
              <w:szCs w:val="22"/>
              <w:lang w:eastAsia="en-US"/>
            </w:rPr>
            <w:t>D.Rancāne</w:t>
          </w:r>
          <w:proofErr w:type="spellEnd"/>
        </w:p>
      </w:tc>
      <w:tc>
        <w:tcPr>
          <w:tcW w:w="1446" w:type="dxa"/>
          <w:tcBorders>
            <w:top w:val="single" w:sz="2" w:space="0" w:color="auto"/>
            <w:bottom w:val="single" w:sz="12" w:space="0" w:color="auto"/>
          </w:tcBorders>
        </w:tcPr>
        <w:p w14:paraId="2AA0B102" w14:textId="77777777" w:rsidR="00DD7534" w:rsidRPr="0058714B" w:rsidRDefault="00DD7534" w:rsidP="00DD7534">
          <w:pPr>
            <w:tabs>
              <w:tab w:val="center" w:pos="4153"/>
              <w:tab w:val="right" w:pos="8306"/>
            </w:tabs>
            <w:jc w:val="both"/>
            <w:rPr>
              <w:rFonts w:eastAsia="Calibri"/>
              <w:sz w:val="18"/>
              <w:szCs w:val="22"/>
              <w:lang w:eastAsia="en-US"/>
            </w:rPr>
          </w:pPr>
          <w:r w:rsidRPr="0058714B">
            <w:rPr>
              <w:rFonts w:eastAsia="Calibri"/>
              <w:sz w:val="18"/>
              <w:szCs w:val="22"/>
              <w:lang w:eastAsia="en-US"/>
            </w:rPr>
            <w:t>Variants:</w:t>
          </w:r>
        </w:p>
        <w:p w14:paraId="71B363C1" w14:textId="65981954" w:rsidR="00DD7534" w:rsidRPr="0058714B" w:rsidRDefault="0005409E" w:rsidP="00DD7534">
          <w:pPr>
            <w:tabs>
              <w:tab w:val="center" w:pos="4153"/>
              <w:tab w:val="right" w:pos="8306"/>
            </w:tabs>
            <w:jc w:val="center"/>
            <w:rPr>
              <w:rFonts w:eastAsia="Calibri"/>
              <w:sz w:val="18"/>
              <w:szCs w:val="22"/>
              <w:lang w:eastAsia="en-US"/>
            </w:rPr>
          </w:pPr>
          <w:r>
            <w:rPr>
              <w:rFonts w:eastAsia="Calibri"/>
              <w:sz w:val="18"/>
              <w:szCs w:val="22"/>
              <w:lang w:eastAsia="en-US"/>
            </w:rPr>
            <w:t>4</w:t>
          </w:r>
          <w:bookmarkStart w:id="0" w:name="_GoBack"/>
          <w:bookmarkEnd w:id="0"/>
        </w:p>
      </w:tc>
      <w:tc>
        <w:tcPr>
          <w:tcW w:w="2126" w:type="dxa"/>
          <w:tcBorders>
            <w:top w:val="single" w:sz="2" w:space="0" w:color="auto"/>
            <w:bottom w:val="single" w:sz="12" w:space="0" w:color="auto"/>
          </w:tcBorders>
        </w:tcPr>
        <w:p w14:paraId="0A06CEA4" w14:textId="77777777" w:rsidR="00DD7534" w:rsidRPr="0058714B" w:rsidRDefault="00DD7534" w:rsidP="00DD7534">
          <w:pPr>
            <w:tabs>
              <w:tab w:val="center" w:pos="4153"/>
              <w:tab w:val="right" w:pos="8306"/>
            </w:tabs>
            <w:jc w:val="both"/>
            <w:rPr>
              <w:rFonts w:eastAsia="Calibri"/>
              <w:sz w:val="18"/>
              <w:szCs w:val="22"/>
              <w:lang w:eastAsia="en-US"/>
            </w:rPr>
          </w:pPr>
          <w:r w:rsidRPr="0058714B">
            <w:rPr>
              <w:rFonts w:eastAsia="Calibri"/>
              <w:sz w:val="18"/>
              <w:szCs w:val="22"/>
              <w:lang w:eastAsia="en-US"/>
            </w:rPr>
            <w:t>Datums:</w:t>
          </w:r>
        </w:p>
        <w:p w14:paraId="42320FDE" w14:textId="5C73AB71" w:rsidR="00DD7534" w:rsidRPr="0058714B" w:rsidRDefault="000D5F60" w:rsidP="003D567D">
          <w:pPr>
            <w:tabs>
              <w:tab w:val="center" w:pos="4153"/>
              <w:tab w:val="right" w:pos="8306"/>
            </w:tabs>
            <w:jc w:val="center"/>
            <w:rPr>
              <w:rFonts w:eastAsia="Calibri"/>
              <w:sz w:val="18"/>
              <w:szCs w:val="22"/>
              <w:lang w:eastAsia="en-US"/>
            </w:rPr>
          </w:pPr>
          <w:r>
            <w:rPr>
              <w:sz w:val="18"/>
              <w:szCs w:val="18"/>
            </w:rPr>
            <w:t>22.08.2017.</w:t>
          </w:r>
        </w:p>
      </w:tc>
      <w:tc>
        <w:tcPr>
          <w:tcW w:w="2268" w:type="dxa"/>
          <w:tcBorders>
            <w:top w:val="single" w:sz="2" w:space="0" w:color="auto"/>
            <w:bottom w:val="single" w:sz="12" w:space="0" w:color="auto"/>
          </w:tcBorders>
        </w:tcPr>
        <w:p w14:paraId="15978A86" w14:textId="77777777" w:rsidR="00DD7534" w:rsidRPr="0058714B" w:rsidRDefault="00DD7534" w:rsidP="00DD7534">
          <w:pPr>
            <w:tabs>
              <w:tab w:val="center" w:pos="4153"/>
              <w:tab w:val="right" w:pos="8306"/>
            </w:tabs>
            <w:jc w:val="both"/>
            <w:rPr>
              <w:rFonts w:eastAsia="Calibri"/>
              <w:sz w:val="18"/>
              <w:szCs w:val="22"/>
              <w:lang w:eastAsia="en-US"/>
            </w:rPr>
          </w:pPr>
          <w:r w:rsidRPr="0058714B">
            <w:rPr>
              <w:rFonts w:eastAsia="Calibri"/>
              <w:sz w:val="18"/>
              <w:szCs w:val="22"/>
              <w:lang w:eastAsia="en-US"/>
            </w:rPr>
            <w:t>Lappuses:</w:t>
          </w:r>
        </w:p>
        <w:p w14:paraId="71A9E61B" w14:textId="69C37566" w:rsidR="00DD7534" w:rsidRPr="0058714B" w:rsidRDefault="00DD7534" w:rsidP="00DD7534">
          <w:pPr>
            <w:tabs>
              <w:tab w:val="center" w:pos="4153"/>
              <w:tab w:val="right" w:pos="8306"/>
            </w:tabs>
            <w:jc w:val="center"/>
            <w:rPr>
              <w:rFonts w:eastAsia="Calibri"/>
              <w:b/>
              <w:sz w:val="18"/>
              <w:szCs w:val="22"/>
              <w:lang w:eastAsia="en-US"/>
            </w:rPr>
          </w:pPr>
          <w:r w:rsidRPr="0058714B">
            <w:rPr>
              <w:rFonts w:eastAsia="Calibri"/>
              <w:b/>
              <w:sz w:val="18"/>
              <w:szCs w:val="22"/>
              <w:lang w:eastAsia="en-US"/>
            </w:rPr>
            <w:fldChar w:fldCharType="begin"/>
          </w:r>
          <w:r w:rsidRPr="0058714B">
            <w:rPr>
              <w:rFonts w:eastAsia="Calibri"/>
              <w:b/>
              <w:sz w:val="18"/>
              <w:szCs w:val="22"/>
              <w:lang w:eastAsia="en-US"/>
            </w:rPr>
            <w:instrText xml:space="preserve"> PAGE   \* MERGEFORMAT </w:instrText>
          </w:r>
          <w:r w:rsidRPr="0058714B">
            <w:rPr>
              <w:rFonts w:eastAsia="Calibri"/>
              <w:b/>
              <w:sz w:val="18"/>
              <w:szCs w:val="22"/>
              <w:lang w:eastAsia="en-US"/>
            </w:rPr>
            <w:fldChar w:fldCharType="separate"/>
          </w:r>
          <w:r w:rsidR="0005409E">
            <w:rPr>
              <w:rFonts w:eastAsia="Calibri"/>
              <w:b/>
              <w:noProof/>
              <w:sz w:val="18"/>
              <w:szCs w:val="22"/>
              <w:lang w:eastAsia="en-US"/>
            </w:rPr>
            <w:t>1</w:t>
          </w:r>
          <w:r w:rsidRPr="0058714B">
            <w:rPr>
              <w:rFonts w:eastAsia="Calibri"/>
              <w:b/>
              <w:sz w:val="18"/>
              <w:szCs w:val="22"/>
              <w:lang w:eastAsia="en-US"/>
            </w:rPr>
            <w:fldChar w:fldCharType="end"/>
          </w:r>
          <w:r w:rsidRPr="0058714B">
            <w:rPr>
              <w:rFonts w:eastAsia="Calibri"/>
              <w:b/>
              <w:sz w:val="18"/>
              <w:szCs w:val="22"/>
              <w:lang w:eastAsia="en-US"/>
            </w:rPr>
            <w:t xml:space="preserve"> no </w:t>
          </w:r>
          <w:r w:rsidR="00810074" w:rsidRPr="0058714B">
            <w:rPr>
              <w:rFonts w:eastAsia="Calibri"/>
              <w:b/>
              <w:sz w:val="18"/>
              <w:szCs w:val="22"/>
              <w:lang w:eastAsia="en-US"/>
            </w:rPr>
            <w:t>35</w:t>
          </w:r>
        </w:p>
        <w:p w14:paraId="1DED9930" w14:textId="77777777" w:rsidR="00DD7534" w:rsidRPr="0058714B" w:rsidRDefault="00DD7534" w:rsidP="00DD7534">
          <w:pPr>
            <w:tabs>
              <w:tab w:val="center" w:pos="4153"/>
              <w:tab w:val="right" w:pos="8306"/>
            </w:tabs>
            <w:jc w:val="center"/>
            <w:rPr>
              <w:rFonts w:eastAsia="Calibri"/>
              <w:b/>
              <w:sz w:val="18"/>
              <w:szCs w:val="22"/>
              <w:lang w:eastAsia="en-US"/>
            </w:rPr>
          </w:pPr>
        </w:p>
      </w:tc>
    </w:tr>
  </w:tbl>
  <w:p w14:paraId="7A4D236E" w14:textId="77777777" w:rsidR="00DD7534" w:rsidRDefault="00DD75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15:restartNumberingAfterBreak="0">
    <w:nsid w:val="FFFFFF83"/>
    <w:multiLevelType w:val="singleLevel"/>
    <w:tmpl w:val="D6C4BB0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000005"/>
    <w:multiLevelType w:val="singleLevel"/>
    <w:tmpl w:val="00000005"/>
    <w:name w:val="WW8Num14"/>
    <w:lvl w:ilvl="0">
      <w:start w:val="1"/>
      <w:numFmt w:val="bullet"/>
      <w:pStyle w:val="ListBullet"/>
      <w:lvlText w:val=""/>
      <w:lvlJc w:val="left"/>
      <w:pPr>
        <w:tabs>
          <w:tab w:val="num" w:pos="283"/>
        </w:tabs>
        <w:ind w:left="283" w:hanging="283"/>
      </w:pPr>
      <w:rPr>
        <w:rFonts w:ascii="Symbol" w:hAnsi="Symbol"/>
      </w:rPr>
    </w:lvl>
  </w:abstractNum>
  <w:abstractNum w:abstractNumId="2" w15:restartNumberingAfterBreak="0">
    <w:nsid w:val="0F795203"/>
    <w:multiLevelType w:val="hybridMultilevel"/>
    <w:tmpl w:val="95C298EC"/>
    <w:lvl w:ilvl="0" w:tplc="0A4C65FC">
      <w:start w:val="1"/>
      <w:numFmt w:val="lowerLetter"/>
      <w:lvlText w:val="(%1)"/>
      <w:lvlJc w:val="left"/>
      <w:pPr>
        <w:ind w:left="720" w:hanging="360"/>
      </w:pPr>
      <w:rPr>
        <w:rFonts w:ascii="Calibri" w:eastAsia="Calibri" w:hAnsi="Calibri"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0ED76A7"/>
    <w:multiLevelType w:val="hybridMultilevel"/>
    <w:tmpl w:val="72603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721DC4"/>
    <w:multiLevelType w:val="multilevel"/>
    <w:tmpl w:val="0409001F"/>
    <w:lvl w:ilvl="0">
      <w:start w:val="1"/>
      <w:numFmt w:val="decimal"/>
      <w:lvlText w:val="%1."/>
      <w:lvlJc w:val="left"/>
      <w:pPr>
        <w:ind w:left="360" w:hanging="360"/>
      </w:pPr>
    </w:lvl>
    <w:lvl w:ilvl="1">
      <w:start w:val="1"/>
      <w:numFmt w:val="decimal"/>
      <w:lvlText w:val="%1.%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256559"/>
    <w:multiLevelType w:val="hybridMultilevel"/>
    <w:tmpl w:val="B9F0CA96"/>
    <w:lvl w:ilvl="0" w:tplc="04260017">
      <w:start w:val="1"/>
      <w:numFmt w:val="lowerLetter"/>
      <w:pStyle w:val="ListBullet1"/>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15:restartNumberingAfterBreak="0">
    <w:nsid w:val="24686D33"/>
    <w:multiLevelType w:val="hybridMultilevel"/>
    <w:tmpl w:val="361C1740"/>
    <w:lvl w:ilvl="0" w:tplc="04260017">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294C74FE"/>
    <w:multiLevelType w:val="hybridMultilevel"/>
    <w:tmpl w:val="1D9C39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72223A"/>
    <w:multiLevelType w:val="hybridMultilevel"/>
    <w:tmpl w:val="7ACC7C80"/>
    <w:lvl w:ilvl="0" w:tplc="04260017">
      <w:start w:val="1"/>
      <w:numFmt w:val="lowerLetter"/>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31781685"/>
    <w:multiLevelType w:val="hybridMultilevel"/>
    <w:tmpl w:val="1682CC9A"/>
    <w:lvl w:ilvl="0" w:tplc="04260017">
      <w:start w:val="3"/>
      <w:numFmt w:val="lowerLetter"/>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 w15:restartNumberingAfterBreak="0">
    <w:nsid w:val="31845F78"/>
    <w:multiLevelType w:val="hybridMultilevel"/>
    <w:tmpl w:val="4D58932A"/>
    <w:lvl w:ilvl="0" w:tplc="425C0DD6">
      <w:start w:val="1"/>
      <w:numFmt w:val="lowerLetter"/>
      <w:lvlText w:val="%1)"/>
      <w:lvlJc w:val="left"/>
      <w:pPr>
        <w:tabs>
          <w:tab w:val="num" w:pos="720"/>
        </w:tabs>
        <w:ind w:left="720" w:hanging="360"/>
      </w:pPr>
      <w:rPr>
        <w:rFonts w:hint="default"/>
        <w:i/>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 w15:restartNumberingAfterBreak="0">
    <w:nsid w:val="444A1F91"/>
    <w:multiLevelType w:val="hybridMultilevel"/>
    <w:tmpl w:val="4DD09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CF2AEB"/>
    <w:multiLevelType w:val="hybridMultilevel"/>
    <w:tmpl w:val="62782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69771E"/>
    <w:multiLevelType w:val="hybridMultilevel"/>
    <w:tmpl w:val="739EFE8E"/>
    <w:lvl w:ilvl="0" w:tplc="04260017">
      <w:start w:val="1"/>
      <w:numFmt w:val="lowerLetter"/>
      <w:lvlText w:val="%1)"/>
      <w:lvlJc w:val="left"/>
      <w:pPr>
        <w:ind w:left="720" w:hanging="360"/>
      </w:pPr>
      <w:rPr>
        <w:rFonts w:hint="default"/>
        <w:sz w:val="20"/>
        <w:szCs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FF74C08"/>
    <w:multiLevelType w:val="hybridMultilevel"/>
    <w:tmpl w:val="EF901CDA"/>
    <w:lvl w:ilvl="0" w:tplc="04260017">
      <w:start w:val="1"/>
      <w:numFmt w:val="lowerLetter"/>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66017511"/>
    <w:multiLevelType w:val="hybridMultilevel"/>
    <w:tmpl w:val="A372C5CA"/>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6" w15:restartNumberingAfterBreak="0">
    <w:nsid w:val="67075090"/>
    <w:multiLevelType w:val="hybridMultilevel"/>
    <w:tmpl w:val="20A019D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8A07E60"/>
    <w:multiLevelType w:val="hybridMultilevel"/>
    <w:tmpl w:val="9FA895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EAB72B7"/>
    <w:multiLevelType w:val="hybridMultilevel"/>
    <w:tmpl w:val="91AAA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0A6DA3"/>
    <w:multiLevelType w:val="multilevel"/>
    <w:tmpl w:val="B9DA99E0"/>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A52C2A"/>
    <w:multiLevelType w:val="hybridMultilevel"/>
    <w:tmpl w:val="E6247304"/>
    <w:lvl w:ilvl="0" w:tplc="04260017">
      <w:start w:val="1"/>
      <w:numFmt w:val="lowerLetter"/>
      <w:lvlText w:val="%1)"/>
      <w:lvlJc w:val="left"/>
      <w:pPr>
        <w:tabs>
          <w:tab w:val="num" w:pos="791"/>
        </w:tabs>
        <w:ind w:left="791" w:hanging="360"/>
      </w:pPr>
    </w:lvl>
    <w:lvl w:ilvl="1" w:tplc="04260019" w:tentative="1">
      <w:start w:val="1"/>
      <w:numFmt w:val="lowerLetter"/>
      <w:lvlText w:val="%2."/>
      <w:lvlJc w:val="left"/>
      <w:pPr>
        <w:tabs>
          <w:tab w:val="num" w:pos="1511"/>
        </w:tabs>
        <w:ind w:left="1511" w:hanging="360"/>
      </w:pPr>
    </w:lvl>
    <w:lvl w:ilvl="2" w:tplc="0426001B" w:tentative="1">
      <w:start w:val="1"/>
      <w:numFmt w:val="lowerRoman"/>
      <w:lvlText w:val="%3."/>
      <w:lvlJc w:val="right"/>
      <w:pPr>
        <w:tabs>
          <w:tab w:val="num" w:pos="2231"/>
        </w:tabs>
        <w:ind w:left="2231" w:hanging="180"/>
      </w:pPr>
    </w:lvl>
    <w:lvl w:ilvl="3" w:tplc="0426000F" w:tentative="1">
      <w:start w:val="1"/>
      <w:numFmt w:val="decimal"/>
      <w:lvlText w:val="%4."/>
      <w:lvlJc w:val="left"/>
      <w:pPr>
        <w:tabs>
          <w:tab w:val="num" w:pos="2951"/>
        </w:tabs>
        <w:ind w:left="2951" w:hanging="360"/>
      </w:pPr>
    </w:lvl>
    <w:lvl w:ilvl="4" w:tplc="04260019" w:tentative="1">
      <w:start w:val="1"/>
      <w:numFmt w:val="lowerLetter"/>
      <w:lvlText w:val="%5."/>
      <w:lvlJc w:val="left"/>
      <w:pPr>
        <w:tabs>
          <w:tab w:val="num" w:pos="3671"/>
        </w:tabs>
        <w:ind w:left="3671" w:hanging="360"/>
      </w:pPr>
    </w:lvl>
    <w:lvl w:ilvl="5" w:tplc="0426001B" w:tentative="1">
      <w:start w:val="1"/>
      <w:numFmt w:val="lowerRoman"/>
      <w:lvlText w:val="%6."/>
      <w:lvlJc w:val="right"/>
      <w:pPr>
        <w:tabs>
          <w:tab w:val="num" w:pos="4391"/>
        </w:tabs>
        <w:ind w:left="4391" w:hanging="180"/>
      </w:pPr>
    </w:lvl>
    <w:lvl w:ilvl="6" w:tplc="0426000F" w:tentative="1">
      <w:start w:val="1"/>
      <w:numFmt w:val="decimal"/>
      <w:lvlText w:val="%7."/>
      <w:lvlJc w:val="left"/>
      <w:pPr>
        <w:tabs>
          <w:tab w:val="num" w:pos="5111"/>
        </w:tabs>
        <w:ind w:left="5111" w:hanging="360"/>
      </w:pPr>
    </w:lvl>
    <w:lvl w:ilvl="7" w:tplc="04260019" w:tentative="1">
      <w:start w:val="1"/>
      <w:numFmt w:val="lowerLetter"/>
      <w:lvlText w:val="%8."/>
      <w:lvlJc w:val="left"/>
      <w:pPr>
        <w:tabs>
          <w:tab w:val="num" w:pos="5831"/>
        </w:tabs>
        <w:ind w:left="5831" w:hanging="360"/>
      </w:pPr>
    </w:lvl>
    <w:lvl w:ilvl="8" w:tplc="0426001B" w:tentative="1">
      <w:start w:val="1"/>
      <w:numFmt w:val="lowerRoman"/>
      <w:lvlText w:val="%9."/>
      <w:lvlJc w:val="right"/>
      <w:pPr>
        <w:tabs>
          <w:tab w:val="num" w:pos="6551"/>
        </w:tabs>
        <w:ind w:left="6551" w:hanging="180"/>
      </w:pPr>
    </w:lvl>
  </w:abstractNum>
  <w:num w:numId="1">
    <w:abstractNumId w:val="4"/>
  </w:num>
  <w:num w:numId="2">
    <w:abstractNumId w:val="20"/>
  </w:num>
  <w:num w:numId="3">
    <w:abstractNumId w:val="5"/>
  </w:num>
  <w:num w:numId="4">
    <w:abstractNumId w:val="10"/>
  </w:num>
  <w:num w:numId="5">
    <w:abstractNumId w:val="1"/>
  </w:num>
  <w:num w:numId="6">
    <w:abstractNumId w:val="0"/>
  </w:num>
  <w:num w:numId="7">
    <w:abstractNumId w:val="8"/>
  </w:num>
  <w:num w:numId="8">
    <w:abstractNumId w:val="9"/>
  </w:num>
  <w:num w:numId="9">
    <w:abstractNumId w:val="7"/>
  </w:num>
  <w:num w:numId="10">
    <w:abstractNumId w:val="14"/>
  </w:num>
  <w:num w:numId="11">
    <w:abstractNumId w:val="2"/>
  </w:num>
  <w:num w:numId="12">
    <w:abstractNumId w:val="19"/>
  </w:num>
  <w:num w:numId="13">
    <w:abstractNumId w:val="15"/>
  </w:num>
  <w:num w:numId="14">
    <w:abstractNumId w:val="12"/>
  </w:num>
  <w:num w:numId="15">
    <w:abstractNumId w:val="11"/>
  </w:num>
  <w:num w:numId="16">
    <w:abstractNumId w:val="18"/>
  </w:num>
  <w:num w:numId="17">
    <w:abstractNumId w:val="3"/>
  </w:num>
  <w:num w:numId="18">
    <w:abstractNumId w:val="13"/>
  </w:num>
  <w:num w:numId="19">
    <w:abstractNumId w:val="16"/>
  </w:num>
  <w:num w:numId="20">
    <w:abstractNumId w:val="17"/>
  </w:num>
  <w:num w:numId="2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144"/>
    <w:rsid w:val="000055C0"/>
    <w:rsid w:val="000063C9"/>
    <w:rsid w:val="00006D15"/>
    <w:rsid w:val="00011145"/>
    <w:rsid w:val="00011466"/>
    <w:rsid w:val="00013DD6"/>
    <w:rsid w:val="000213D4"/>
    <w:rsid w:val="00023061"/>
    <w:rsid w:val="00023A1B"/>
    <w:rsid w:val="000243A7"/>
    <w:rsid w:val="00035CA1"/>
    <w:rsid w:val="00035D68"/>
    <w:rsid w:val="00042AB7"/>
    <w:rsid w:val="00046478"/>
    <w:rsid w:val="0005023C"/>
    <w:rsid w:val="00050C2E"/>
    <w:rsid w:val="00051AD6"/>
    <w:rsid w:val="00052144"/>
    <w:rsid w:val="0005409E"/>
    <w:rsid w:val="00054149"/>
    <w:rsid w:val="00065E2C"/>
    <w:rsid w:val="00070691"/>
    <w:rsid w:val="00072C27"/>
    <w:rsid w:val="00073600"/>
    <w:rsid w:val="000802C4"/>
    <w:rsid w:val="00082A5B"/>
    <w:rsid w:val="00084E57"/>
    <w:rsid w:val="00087F7F"/>
    <w:rsid w:val="000904B3"/>
    <w:rsid w:val="00091494"/>
    <w:rsid w:val="00094CDA"/>
    <w:rsid w:val="00095B52"/>
    <w:rsid w:val="0009669E"/>
    <w:rsid w:val="000A0466"/>
    <w:rsid w:val="000A4524"/>
    <w:rsid w:val="000A4E16"/>
    <w:rsid w:val="000A6D4F"/>
    <w:rsid w:val="000A79B1"/>
    <w:rsid w:val="000A7CD3"/>
    <w:rsid w:val="000B001A"/>
    <w:rsid w:val="000B0481"/>
    <w:rsid w:val="000B05C5"/>
    <w:rsid w:val="000B4B6E"/>
    <w:rsid w:val="000B6287"/>
    <w:rsid w:val="000C08A5"/>
    <w:rsid w:val="000C40BA"/>
    <w:rsid w:val="000C548E"/>
    <w:rsid w:val="000D0D7B"/>
    <w:rsid w:val="000D1182"/>
    <w:rsid w:val="000D5F60"/>
    <w:rsid w:val="000D7EB2"/>
    <w:rsid w:val="000E13B6"/>
    <w:rsid w:val="000E6FCD"/>
    <w:rsid w:val="000F4391"/>
    <w:rsid w:val="000F49C7"/>
    <w:rsid w:val="00102ACE"/>
    <w:rsid w:val="00104BEC"/>
    <w:rsid w:val="00107777"/>
    <w:rsid w:val="0011014F"/>
    <w:rsid w:val="001112A7"/>
    <w:rsid w:val="00112CD1"/>
    <w:rsid w:val="0011516F"/>
    <w:rsid w:val="00115806"/>
    <w:rsid w:val="00130C42"/>
    <w:rsid w:val="00131F4B"/>
    <w:rsid w:val="00132276"/>
    <w:rsid w:val="001327E7"/>
    <w:rsid w:val="00132FE2"/>
    <w:rsid w:val="0013327F"/>
    <w:rsid w:val="00140DB5"/>
    <w:rsid w:val="00140EAA"/>
    <w:rsid w:val="001413FE"/>
    <w:rsid w:val="00143949"/>
    <w:rsid w:val="00144CE5"/>
    <w:rsid w:val="00145237"/>
    <w:rsid w:val="00146DF2"/>
    <w:rsid w:val="0015233C"/>
    <w:rsid w:val="001524F0"/>
    <w:rsid w:val="001527A7"/>
    <w:rsid w:val="001559C1"/>
    <w:rsid w:val="00162BB9"/>
    <w:rsid w:val="001630D0"/>
    <w:rsid w:val="00163DB4"/>
    <w:rsid w:val="00165323"/>
    <w:rsid w:val="0016547C"/>
    <w:rsid w:val="00165A58"/>
    <w:rsid w:val="00170543"/>
    <w:rsid w:val="001740D3"/>
    <w:rsid w:val="00174281"/>
    <w:rsid w:val="00175729"/>
    <w:rsid w:val="001762B3"/>
    <w:rsid w:val="00176413"/>
    <w:rsid w:val="001775CF"/>
    <w:rsid w:val="0017783E"/>
    <w:rsid w:val="00180A97"/>
    <w:rsid w:val="00182ACF"/>
    <w:rsid w:val="001843DB"/>
    <w:rsid w:val="0018627D"/>
    <w:rsid w:val="00191D53"/>
    <w:rsid w:val="00192B7C"/>
    <w:rsid w:val="00196DEC"/>
    <w:rsid w:val="001A0026"/>
    <w:rsid w:val="001A07CF"/>
    <w:rsid w:val="001A150D"/>
    <w:rsid w:val="001A2D43"/>
    <w:rsid w:val="001A7A7B"/>
    <w:rsid w:val="001B0993"/>
    <w:rsid w:val="001B19A6"/>
    <w:rsid w:val="001B1FBC"/>
    <w:rsid w:val="001B2A24"/>
    <w:rsid w:val="001B2E25"/>
    <w:rsid w:val="001B3F96"/>
    <w:rsid w:val="001C1A0F"/>
    <w:rsid w:val="001C2833"/>
    <w:rsid w:val="001C4685"/>
    <w:rsid w:val="001C4BF9"/>
    <w:rsid w:val="001D176A"/>
    <w:rsid w:val="001D28C6"/>
    <w:rsid w:val="001D6BC3"/>
    <w:rsid w:val="001E61C1"/>
    <w:rsid w:val="001E7444"/>
    <w:rsid w:val="001F0B63"/>
    <w:rsid w:val="001F68DE"/>
    <w:rsid w:val="001F6B6F"/>
    <w:rsid w:val="001F75E7"/>
    <w:rsid w:val="002002D8"/>
    <w:rsid w:val="0020108F"/>
    <w:rsid w:val="00204392"/>
    <w:rsid w:val="00205760"/>
    <w:rsid w:val="002104B0"/>
    <w:rsid w:val="00215E5D"/>
    <w:rsid w:val="00223D4A"/>
    <w:rsid w:val="0023194A"/>
    <w:rsid w:val="00240A1E"/>
    <w:rsid w:val="00241F5A"/>
    <w:rsid w:val="0024476E"/>
    <w:rsid w:val="002536B5"/>
    <w:rsid w:val="00261D17"/>
    <w:rsid w:val="0026332F"/>
    <w:rsid w:val="0026438C"/>
    <w:rsid w:val="00265A84"/>
    <w:rsid w:val="002679E5"/>
    <w:rsid w:val="00272422"/>
    <w:rsid w:val="00272F8E"/>
    <w:rsid w:val="00275263"/>
    <w:rsid w:val="002763D4"/>
    <w:rsid w:val="002775D8"/>
    <w:rsid w:val="00277EBA"/>
    <w:rsid w:val="002800ED"/>
    <w:rsid w:val="00282385"/>
    <w:rsid w:val="00284CE3"/>
    <w:rsid w:val="00285AA8"/>
    <w:rsid w:val="00286F0A"/>
    <w:rsid w:val="002871AE"/>
    <w:rsid w:val="002913DE"/>
    <w:rsid w:val="00293B4E"/>
    <w:rsid w:val="00293C34"/>
    <w:rsid w:val="002952D1"/>
    <w:rsid w:val="0029534A"/>
    <w:rsid w:val="00295AE1"/>
    <w:rsid w:val="002971ED"/>
    <w:rsid w:val="002A0C84"/>
    <w:rsid w:val="002A59A5"/>
    <w:rsid w:val="002A7296"/>
    <w:rsid w:val="002B12DB"/>
    <w:rsid w:val="002B1D30"/>
    <w:rsid w:val="002B7358"/>
    <w:rsid w:val="002C1635"/>
    <w:rsid w:val="002C3386"/>
    <w:rsid w:val="002C3809"/>
    <w:rsid w:val="002C68AE"/>
    <w:rsid w:val="002C76CC"/>
    <w:rsid w:val="002D0056"/>
    <w:rsid w:val="002D2B48"/>
    <w:rsid w:val="002D3092"/>
    <w:rsid w:val="002D4BA5"/>
    <w:rsid w:val="002D52B4"/>
    <w:rsid w:val="002D5654"/>
    <w:rsid w:val="002D58B3"/>
    <w:rsid w:val="002D6DE7"/>
    <w:rsid w:val="002D727A"/>
    <w:rsid w:val="002E0907"/>
    <w:rsid w:val="002E4374"/>
    <w:rsid w:val="002E77E6"/>
    <w:rsid w:val="002F0815"/>
    <w:rsid w:val="002F68FD"/>
    <w:rsid w:val="002F6D70"/>
    <w:rsid w:val="002F6DF7"/>
    <w:rsid w:val="002F78D6"/>
    <w:rsid w:val="00300756"/>
    <w:rsid w:val="003009B7"/>
    <w:rsid w:val="00303655"/>
    <w:rsid w:val="003107BA"/>
    <w:rsid w:val="00311A01"/>
    <w:rsid w:val="00312FAD"/>
    <w:rsid w:val="00314217"/>
    <w:rsid w:val="0031427C"/>
    <w:rsid w:val="00322200"/>
    <w:rsid w:val="00322ECE"/>
    <w:rsid w:val="0032720D"/>
    <w:rsid w:val="00330137"/>
    <w:rsid w:val="00330B5C"/>
    <w:rsid w:val="00330C0D"/>
    <w:rsid w:val="003315BF"/>
    <w:rsid w:val="00340021"/>
    <w:rsid w:val="00347995"/>
    <w:rsid w:val="003504EE"/>
    <w:rsid w:val="003515E1"/>
    <w:rsid w:val="00352921"/>
    <w:rsid w:val="00353DFC"/>
    <w:rsid w:val="003551E8"/>
    <w:rsid w:val="0035525E"/>
    <w:rsid w:val="00355B70"/>
    <w:rsid w:val="003618CD"/>
    <w:rsid w:val="00361A9B"/>
    <w:rsid w:val="00361CB3"/>
    <w:rsid w:val="00362473"/>
    <w:rsid w:val="003648F0"/>
    <w:rsid w:val="003713FB"/>
    <w:rsid w:val="00372A3D"/>
    <w:rsid w:val="00374F12"/>
    <w:rsid w:val="00375206"/>
    <w:rsid w:val="003754F6"/>
    <w:rsid w:val="003763D5"/>
    <w:rsid w:val="00377335"/>
    <w:rsid w:val="00377DAC"/>
    <w:rsid w:val="0038056B"/>
    <w:rsid w:val="00381213"/>
    <w:rsid w:val="00383910"/>
    <w:rsid w:val="00385AF0"/>
    <w:rsid w:val="00387B3A"/>
    <w:rsid w:val="003902C2"/>
    <w:rsid w:val="003904BE"/>
    <w:rsid w:val="003926D2"/>
    <w:rsid w:val="00393872"/>
    <w:rsid w:val="0039555F"/>
    <w:rsid w:val="00395DF0"/>
    <w:rsid w:val="003A0466"/>
    <w:rsid w:val="003A1798"/>
    <w:rsid w:val="003A2310"/>
    <w:rsid w:val="003A268B"/>
    <w:rsid w:val="003A668B"/>
    <w:rsid w:val="003A7AFD"/>
    <w:rsid w:val="003B0E17"/>
    <w:rsid w:val="003B1056"/>
    <w:rsid w:val="003B1A4F"/>
    <w:rsid w:val="003B252F"/>
    <w:rsid w:val="003B3514"/>
    <w:rsid w:val="003B446B"/>
    <w:rsid w:val="003B642F"/>
    <w:rsid w:val="003B748F"/>
    <w:rsid w:val="003C1DA0"/>
    <w:rsid w:val="003C2BFB"/>
    <w:rsid w:val="003C2EA1"/>
    <w:rsid w:val="003C4617"/>
    <w:rsid w:val="003C6BA2"/>
    <w:rsid w:val="003D0909"/>
    <w:rsid w:val="003D17AE"/>
    <w:rsid w:val="003D1AE4"/>
    <w:rsid w:val="003D3553"/>
    <w:rsid w:val="003D4343"/>
    <w:rsid w:val="003D567D"/>
    <w:rsid w:val="003D5B32"/>
    <w:rsid w:val="003D6AD7"/>
    <w:rsid w:val="003E13FC"/>
    <w:rsid w:val="003E45E8"/>
    <w:rsid w:val="003E5FAE"/>
    <w:rsid w:val="003F0DC0"/>
    <w:rsid w:val="003F0E9A"/>
    <w:rsid w:val="003F2812"/>
    <w:rsid w:val="003F5406"/>
    <w:rsid w:val="003F5944"/>
    <w:rsid w:val="003F6929"/>
    <w:rsid w:val="004024BE"/>
    <w:rsid w:val="004055FB"/>
    <w:rsid w:val="00412AEB"/>
    <w:rsid w:val="00413D53"/>
    <w:rsid w:val="0041435A"/>
    <w:rsid w:val="00414A7B"/>
    <w:rsid w:val="00414BDD"/>
    <w:rsid w:val="00415D22"/>
    <w:rsid w:val="00417562"/>
    <w:rsid w:val="0042146D"/>
    <w:rsid w:val="00430562"/>
    <w:rsid w:val="00432C85"/>
    <w:rsid w:val="004421A3"/>
    <w:rsid w:val="004454E7"/>
    <w:rsid w:val="00445530"/>
    <w:rsid w:val="004516BE"/>
    <w:rsid w:val="00456EA9"/>
    <w:rsid w:val="00460B4A"/>
    <w:rsid w:val="00460DB1"/>
    <w:rsid w:val="00463CB9"/>
    <w:rsid w:val="00464451"/>
    <w:rsid w:val="00476578"/>
    <w:rsid w:val="00481E37"/>
    <w:rsid w:val="004830C4"/>
    <w:rsid w:val="00490299"/>
    <w:rsid w:val="00494298"/>
    <w:rsid w:val="0049542B"/>
    <w:rsid w:val="00495714"/>
    <w:rsid w:val="0049710E"/>
    <w:rsid w:val="004A0E6B"/>
    <w:rsid w:val="004A1AC8"/>
    <w:rsid w:val="004A2D98"/>
    <w:rsid w:val="004B266E"/>
    <w:rsid w:val="004B63B0"/>
    <w:rsid w:val="004B6C02"/>
    <w:rsid w:val="004C4C15"/>
    <w:rsid w:val="004D7AC6"/>
    <w:rsid w:val="004E0F0D"/>
    <w:rsid w:val="004E23D0"/>
    <w:rsid w:val="004E4B6B"/>
    <w:rsid w:val="004E5EB6"/>
    <w:rsid w:val="004E7745"/>
    <w:rsid w:val="004F0714"/>
    <w:rsid w:val="004F4EAF"/>
    <w:rsid w:val="004F5447"/>
    <w:rsid w:val="00502EC5"/>
    <w:rsid w:val="00504368"/>
    <w:rsid w:val="00515130"/>
    <w:rsid w:val="00516A85"/>
    <w:rsid w:val="005171D5"/>
    <w:rsid w:val="00522BBD"/>
    <w:rsid w:val="005247BF"/>
    <w:rsid w:val="00524B62"/>
    <w:rsid w:val="00525236"/>
    <w:rsid w:val="0053162A"/>
    <w:rsid w:val="005334CD"/>
    <w:rsid w:val="0053662F"/>
    <w:rsid w:val="00536D59"/>
    <w:rsid w:val="00540A94"/>
    <w:rsid w:val="00541D87"/>
    <w:rsid w:val="00542990"/>
    <w:rsid w:val="005451A9"/>
    <w:rsid w:val="00545496"/>
    <w:rsid w:val="005459B0"/>
    <w:rsid w:val="00545EFC"/>
    <w:rsid w:val="00546513"/>
    <w:rsid w:val="00546AEC"/>
    <w:rsid w:val="00552CAD"/>
    <w:rsid w:val="00554A58"/>
    <w:rsid w:val="00555B86"/>
    <w:rsid w:val="00557240"/>
    <w:rsid w:val="00560B3B"/>
    <w:rsid w:val="00562486"/>
    <w:rsid w:val="00563C91"/>
    <w:rsid w:val="00563EE9"/>
    <w:rsid w:val="00566CAF"/>
    <w:rsid w:val="005709A0"/>
    <w:rsid w:val="005723F7"/>
    <w:rsid w:val="005736D5"/>
    <w:rsid w:val="00573D79"/>
    <w:rsid w:val="0058169F"/>
    <w:rsid w:val="00584A11"/>
    <w:rsid w:val="00586AB9"/>
    <w:rsid w:val="0058714B"/>
    <w:rsid w:val="00592036"/>
    <w:rsid w:val="00595EAB"/>
    <w:rsid w:val="00596012"/>
    <w:rsid w:val="0059694B"/>
    <w:rsid w:val="0059703C"/>
    <w:rsid w:val="005A0F88"/>
    <w:rsid w:val="005A1266"/>
    <w:rsid w:val="005A66D3"/>
    <w:rsid w:val="005A6A02"/>
    <w:rsid w:val="005B030E"/>
    <w:rsid w:val="005B2E8E"/>
    <w:rsid w:val="005B3AF5"/>
    <w:rsid w:val="005B4275"/>
    <w:rsid w:val="005B4ABA"/>
    <w:rsid w:val="005C3507"/>
    <w:rsid w:val="005C779E"/>
    <w:rsid w:val="005D0915"/>
    <w:rsid w:val="005D3542"/>
    <w:rsid w:val="005E04CB"/>
    <w:rsid w:val="00602C0C"/>
    <w:rsid w:val="00603709"/>
    <w:rsid w:val="0060539B"/>
    <w:rsid w:val="00607528"/>
    <w:rsid w:val="00607965"/>
    <w:rsid w:val="00607A23"/>
    <w:rsid w:val="006103A7"/>
    <w:rsid w:val="00610C19"/>
    <w:rsid w:val="00615899"/>
    <w:rsid w:val="006221B3"/>
    <w:rsid w:val="006222EB"/>
    <w:rsid w:val="00623B71"/>
    <w:rsid w:val="00623CCB"/>
    <w:rsid w:val="00623DD4"/>
    <w:rsid w:val="006262D3"/>
    <w:rsid w:val="00627424"/>
    <w:rsid w:val="00631A3A"/>
    <w:rsid w:val="006345C3"/>
    <w:rsid w:val="00634B3D"/>
    <w:rsid w:val="0063532A"/>
    <w:rsid w:val="006367DF"/>
    <w:rsid w:val="006449FA"/>
    <w:rsid w:val="00644EAB"/>
    <w:rsid w:val="00645AF8"/>
    <w:rsid w:val="0065317C"/>
    <w:rsid w:val="00654481"/>
    <w:rsid w:val="006555E1"/>
    <w:rsid w:val="0065790C"/>
    <w:rsid w:val="00660911"/>
    <w:rsid w:val="00662349"/>
    <w:rsid w:val="0066437B"/>
    <w:rsid w:val="006650AA"/>
    <w:rsid w:val="00667E09"/>
    <w:rsid w:val="00670793"/>
    <w:rsid w:val="00675A5C"/>
    <w:rsid w:val="00676F55"/>
    <w:rsid w:val="00683246"/>
    <w:rsid w:val="00687011"/>
    <w:rsid w:val="00687DCE"/>
    <w:rsid w:val="00691873"/>
    <w:rsid w:val="0069352A"/>
    <w:rsid w:val="00694D82"/>
    <w:rsid w:val="006A0092"/>
    <w:rsid w:val="006A0579"/>
    <w:rsid w:val="006A323F"/>
    <w:rsid w:val="006A38FC"/>
    <w:rsid w:val="006A3E34"/>
    <w:rsid w:val="006A78BD"/>
    <w:rsid w:val="006C08A6"/>
    <w:rsid w:val="006C17E8"/>
    <w:rsid w:val="006C2641"/>
    <w:rsid w:val="006C4C5A"/>
    <w:rsid w:val="006C5657"/>
    <w:rsid w:val="006C70F0"/>
    <w:rsid w:val="006C77C3"/>
    <w:rsid w:val="006D0F59"/>
    <w:rsid w:val="006D3112"/>
    <w:rsid w:val="006D40FC"/>
    <w:rsid w:val="006D6A11"/>
    <w:rsid w:val="006E36C7"/>
    <w:rsid w:val="006E6214"/>
    <w:rsid w:val="006F4770"/>
    <w:rsid w:val="006F6C63"/>
    <w:rsid w:val="006F71A0"/>
    <w:rsid w:val="006F7E8F"/>
    <w:rsid w:val="007001EA"/>
    <w:rsid w:val="00701A90"/>
    <w:rsid w:val="00702436"/>
    <w:rsid w:val="00706207"/>
    <w:rsid w:val="00722DEE"/>
    <w:rsid w:val="007240A3"/>
    <w:rsid w:val="00730C86"/>
    <w:rsid w:val="00731EAC"/>
    <w:rsid w:val="00731F26"/>
    <w:rsid w:val="0073549C"/>
    <w:rsid w:val="00741E94"/>
    <w:rsid w:val="00745118"/>
    <w:rsid w:val="007467BD"/>
    <w:rsid w:val="0075049C"/>
    <w:rsid w:val="0075575C"/>
    <w:rsid w:val="00756BEC"/>
    <w:rsid w:val="00765900"/>
    <w:rsid w:val="007672A7"/>
    <w:rsid w:val="00771514"/>
    <w:rsid w:val="007737FB"/>
    <w:rsid w:val="007737FD"/>
    <w:rsid w:val="00776DEB"/>
    <w:rsid w:val="0078045F"/>
    <w:rsid w:val="00781728"/>
    <w:rsid w:val="00782237"/>
    <w:rsid w:val="00784576"/>
    <w:rsid w:val="007874EB"/>
    <w:rsid w:val="00790E9B"/>
    <w:rsid w:val="007911BF"/>
    <w:rsid w:val="00791B67"/>
    <w:rsid w:val="0079333D"/>
    <w:rsid w:val="00795EB6"/>
    <w:rsid w:val="00796D1E"/>
    <w:rsid w:val="00797361"/>
    <w:rsid w:val="0079775C"/>
    <w:rsid w:val="007A0800"/>
    <w:rsid w:val="007A1014"/>
    <w:rsid w:val="007A1424"/>
    <w:rsid w:val="007A359D"/>
    <w:rsid w:val="007A7E2C"/>
    <w:rsid w:val="007A7EB3"/>
    <w:rsid w:val="007B7F8D"/>
    <w:rsid w:val="007C173E"/>
    <w:rsid w:val="007C2629"/>
    <w:rsid w:val="007C3CC7"/>
    <w:rsid w:val="007C62ED"/>
    <w:rsid w:val="007C7207"/>
    <w:rsid w:val="007D3EE8"/>
    <w:rsid w:val="007E09B2"/>
    <w:rsid w:val="007E185D"/>
    <w:rsid w:val="007F3837"/>
    <w:rsid w:val="007F60E2"/>
    <w:rsid w:val="007F76CB"/>
    <w:rsid w:val="00810074"/>
    <w:rsid w:val="00810144"/>
    <w:rsid w:val="0081035D"/>
    <w:rsid w:val="00810AD0"/>
    <w:rsid w:val="00810D3A"/>
    <w:rsid w:val="00811DBF"/>
    <w:rsid w:val="00811F5F"/>
    <w:rsid w:val="008125F7"/>
    <w:rsid w:val="00813C8F"/>
    <w:rsid w:val="00823944"/>
    <w:rsid w:val="008244CD"/>
    <w:rsid w:val="00825EB3"/>
    <w:rsid w:val="00834A86"/>
    <w:rsid w:val="00836E44"/>
    <w:rsid w:val="00842581"/>
    <w:rsid w:val="0084348A"/>
    <w:rsid w:val="008476BC"/>
    <w:rsid w:val="00847D71"/>
    <w:rsid w:val="008546CB"/>
    <w:rsid w:val="00855E27"/>
    <w:rsid w:val="008601BE"/>
    <w:rsid w:val="00862CBE"/>
    <w:rsid w:val="0086323D"/>
    <w:rsid w:val="0086415E"/>
    <w:rsid w:val="00864FC1"/>
    <w:rsid w:val="00866571"/>
    <w:rsid w:val="0087230B"/>
    <w:rsid w:val="008726B5"/>
    <w:rsid w:val="00874A5B"/>
    <w:rsid w:val="00876CB3"/>
    <w:rsid w:val="0088055E"/>
    <w:rsid w:val="008817EF"/>
    <w:rsid w:val="00884CAC"/>
    <w:rsid w:val="008A012D"/>
    <w:rsid w:val="008A2119"/>
    <w:rsid w:val="008A5F13"/>
    <w:rsid w:val="008B3635"/>
    <w:rsid w:val="008B3757"/>
    <w:rsid w:val="008B44C9"/>
    <w:rsid w:val="008B6D06"/>
    <w:rsid w:val="008B7773"/>
    <w:rsid w:val="008C23DB"/>
    <w:rsid w:val="008C467A"/>
    <w:rsid w:val="008C5FF9"/>
    <w:rsid w:val="008C6ABF"/>
    <w:rsid w:val="008D18BE"/>
    <w:rsid w:val="008D3B59"/>
    <w:rsid w:val="008D7239"/>
    <w:rsid w:val="008E053B"/>
    <w:rsid w:val="008E637B"/>
    <w:rsid w:val="008F2597"/>
    <w:rsid w:val="008F2953"/>
    <w:rsid w:val="008F4B34"/>
    <w:rsid w:val="008F4BA2"/>
    <w:rsid w:val="008F4BDD"/>
    <w:rsid w:val="008F5573"/>
    <w:rsid w:val="00900F65"/>
    <w:rsid w:val="0090374D"/>
    <w:rsid w:val="00903829"/>
    <w:rsid w:val="00904189"/>
    <w:rsid w:val="00905CEC"/>
    <w:rsid w:val="0091449E"/>
    <w:rsid w:val="009153B4"/>
    <w:rsid w:val="00915E34"/>
    <w:rsid w:val="00932D86"/>
    <w:rsid w:val="00941421"/>
    <w:rsid w:val="009414DE"/>
    <w:rsid w:val="00941C65"/>
    <w:rsid w:val="00942563"/>
    <w:rsid w:val="009478F2"/>
    <w:rsid w:val="00947A8D"/>
    <w:rsid w:val="00950C8C"/>
    <w:rsid w:val="00951384"/>
    <w:rsid w:val="0095314F"/>
    <w:rsid w:val="00953A65"/>
    <w:rsid w:val="00957833"/>
    <w:rsid w:val="00964256"/>
    <w:rsid w:val="0096425D"/>
    <w:rsid w:val="00964C74"/>
    <w:rsid w:val="009756B3"/>
    <w:rsid w:val="0098259F"/>
    <w:rsid w:val="009837DC"/>
    <w:rsid w:val="009838BC"/>
    <w:rsid w:val="00983AEC"/>
    <w:rsid w:val="00983D01"/>
    <w:rsid w:val="00987C37"/>
    <w:rsid w:val="009936F2"/>
    <w:rsid w:val="009A0967"/>
    <w:rsid w:val="009A3C3E"/>
    <w:rsid w:val="009B383F"/>
    <w:rsid w:val="009B40DC"/>
    <w:rsid w:val="009B63CD"/>
    <w:rsid w:val="009B695D"/>
    <w:rsid w:val="009C1462"/>
    <w:rsid w:val="009C1D38"/>
    <w:rsid w:val="009C4DD4"/>
    <w:rsid w:val="009C54EF"/>
    <w:rsid w:val="009D07C7"/>
    <w:rsid w:val="009D1E6E"/>
    <w:rsid w:val="009D2EFD"/>
    <w:rsid w:val="009D3A6F"/>
    <w:rsid w:val="009D5EC2"/>
    <w:rsid w:val="009E180C"/>
    <w:rsid w:val="009E4741"/>
    <w:rsid w:val="009E6506"/>
    <w:rsid w:val="009E6586"/>
    <w:rsid w:val="009F08D7"/>
    <w:rsid w:val="009F12A1"/>
    <w:rsid w:val="009F2C32"/>
    <w:rsid w:val="009F64F4"/>
    <w:rsid w:val="009F7450"/>
    <w:rsid w:val="00A0301A"/>
    <w:rsid w:val="00A04DB0"/>
    <w:rsid w:val="00A05162"/>
    <w:rsid w:val="00A10489"/>
    <w:rsid w:val="00A123BD"/>
    <w:rsid w:val="00A128C2"/>
    <w:rsid w:val="00A1696B"/>
    <w:rsid w:val="00A21307"/>
    <w:rsid w:val="00A2172D"/>
    <w:rsid w:val="00A21C9D"/>
    <w:rsid w:val="00A250B5"/>
    <w:rsid w:val="00A30975"/>
    <w:rsid w:val="00A30DBD"/>
    <w:rsid w:val="00A33DD9"/>
    <w:rsid w:val="00A354E2"/>
    <w:rsid w:val="00A4162B"/>
    <w:rsid w:val="00A4275E"/>
    <w:rsid w:val="00A447B0"/>
    <w:rsid w:val="00A5545B"/>
    <w:rsid w:val="00A57236"/>
    <w:rsid w:val="00A60BA4"/>
    <w:rsid w:val="00A61E87"/>
    <w:rsid w:val="00A61F85"/>
    <w:rsid w:val="00A62549"/>
    <w:rsid w:val="00A62DBD"/>
    <w:rsid w:val="00A63198"/>
    <w:rsid w:val="00A65507"/>
    <w:rsid w:val="00A6709F"/>
    <w:rsid w:val="00A706A4"/>
    <w:rsid w:val="00A71533"/>
    <w:rsid w:val="00A7209C"/>
    <w:rsid w:val="00A72650"/>
    <w:rsid w:val="00A764EF"/>
    <w:rsid w:val="00A80614"/>
    <w:rsid w:val="00A80673"/>
    <w:rsid w:val="00A814F0"/>
    <w:rsid w:val="00A84DE7"/>
    <w:rsid w:val="00A86194"/>
    <w:rsid w:val="00A906C9"/>
    <w:rsid w:val="00A9095C"/>
    <w:rsid w:val="00A90E4C"/>
    <w:rsid w:val="00A911A6"/>
    <w:rsid w:val="00A91F96"/>
    <w:rsid w:val="00A93F64"/>
    <w:rsid w:val="00A942D1"/>
    <w:rsid w:val="00A96D32"/>
    <w:rsid w:val="00AA06F3"/>
    <w:rsid w:val="00AA2680"/>
    <w:rsid w:val="00AA289C"/>
    <w:rsid w:val="00AA2C62"/>
    <w:rsid w:val="00AA46FD"/>
    <w:rsid w:val="00AB03D9"/>
    <w:rsid w:val="00AB3D99"/>
    <w:rsid w:val="00AB5439"/>
    <w:rsid w:val="00AB58BA"/>
    <w:rsid w:val="00AC103B"/>
    <w:rsid w:val="00AC6BDD"/>
    <w:rsid w:val="00AC77A8"/>
    <w:rsid w:val="00AD5603"/>
    <w:rsid w:val="00AD6F9A"/>
    <w:rsid w:val="00AD72FF"/>
    <w:rsid w:val="00AE40EE"/>
    <w:rsid w:val="00AE6903"/>
    <w:rsid w:val="00AF0DAA"/>
    <w:rsid w:val="00AF42C1"/>
    <w:rsid w:val="00AF6577"/>
    <w:rsid w:val="00AF6F37"/>
    <w:rsid w:val="00B00895"/>
    <w:rsid w:val="00B00CE3"/>
    <w:rsid w:val="00B01EEA"/>
    <w:rsid w:val="00B06C9B"/>
    <w:rsid w:val="00B07DC4"/>
    <w:rsid w:val="00B10017"/>
    <w:rsid w:val="00B12D69"/>
    <w:rsid w:val="00B12E4A"/>
    <w:rsid w:val="00B212F3"/>
    <w:rsid w:val="00B21369"/>
    <w:rsid w:val="00B2389D"/>
    <w:rsid w:val="00B24CC2"/>
    <w:rsid w:val="00B24CCC"/>
    <w:rsid w:val="00B24DC9"/>
    <w:rsid w:val="00B25794"/>
    <w:rsid w:val="00B27DC6"/>
    <w:rsid w:val="00B302B3"/>
    <w:rsid w:val="00B31EFC"/>
    <w:rsid w:val="00B32540"/>
    <w:rsid w:val="00B333FD"/>
    <w:rsid w:val="00B33E40"/>
    <w:rsid w:val="00B426E1"/>
    <w:rsid w:val="00B44379"/>
    <w:rsid w:val="00B443F8"/>
    <w:rsid w:val="00B45C7E"/>
    <w:rsid w:val="00B46FC7"/>
    <w:rsid w:val="00B47B63"/>
    <w:rsid w:val="00B502C2"/>
    <w:rsid w:val="00B5215B"/>
    <w:rsid w:val="00B53094"/>
    <w:rsid w:val="00B605A7"/>
    <w:rsid w:val="00B60E2B"/>
    <w:rsid w:val="00B627A0"/>
    <w:rsid w:val="00B67CF6"/>
    <w:rsid w:val="00B7296A"/>
    <w:rsid w:val="00B73F17"/>
    <w:rsid w:val="00B74220"/>
    <w:rsid w:val="00B77884"/>
    <w:rsid w:val="00B807FE"/>
    <w:rsid w:val="00B87287"/>
    <w:rsid w:val="00B9198B"/>
    <w:rsid w:val="00B91B8E"/>
    <w:rsid w:val="00B95F2C"/>
    <w:rsid w:val="00B96BED"/>
    <w:rsid w:val="00B974C2"/>
    <w:rsid w:val="00BA1A72"/>
    <w:rsid w:val="00BA1BBD"/>
    <w:rsid w:val="00BA29B5"/>
    <w:rsid w:val="00BA3A07"/>
    <w:rsid w:val="00BA549A"/>
    <w:rsid w:val="00BB133F"/>
    <w:rsid w:val="00BB58CD"/>
    <w:rsid w:val="00BB69D5"/>
    <w:rsid w:val="00BB6B82"/>
    <w:rsid w:val="00BB7AA1"/>
    <w:rsid w:val="00BC01E9"/>
    <w:rsid w:val="00BC13D7"/>
    <w:rsid w:val="00BC2E7A"/>
    <w:rsid w:val="00BD1D76"/>
    <w:rsid w:val="00BD3730"/>
    <w:rsid w:val="00BD3A5E"/>
    <w:rsid w:val="00BD7CE8"/>
    <w:rsid w:val="00BE0679"/>
    <w:rsid w:val="00BE36F5"/>
    <w:rsid w:val="00BF06F9"/>
    <w:rsid w:val="00BF3491"/>
    <w:rsid w:val="00BF350E"/>
    <w:rsid w:val="00BF467F"/>
    <w:rsid w:val="00BF7528"/>
    <w:rsid w:val="00C00B6D"/>
    <w:rsid w:val="00C06003"/>
    <w:rsid w:val="00C06D1F"/>
    <w:rsid w:val="00C07DB5"/>
    <w:rsid w:val="00C1595E"/>
    <w:rsid w:val="00C15C01"/>
    <w:rsid w:val="00C16095"/>
    <w:rsid w:val="00C17746"/>
    <w:rsid w:val="00C20A7C"/>
    <w:rsid w:val="00C20D07"/>
    <w:rsid w:val="00C32F1F"/>
    <w:rsid w:val="00C40666"/>
    <w:rsid w:val="00C44BCC"/>
    <w:rsid w:val="00C44E03"/>
    <w:rsid w:val="00C466A0"/>
    <w:rsid w:val="00C47B15"/>
    <w:rsid w:val="00C47CA4"/>
    <w:rsid w:val="00C558EF"/>
    <w:rsid w:val="00C56D93"/>
    <w:rsid w:val="00C6056A"/>
    <w:rsid w:val="00C6213D"/>
    <w:rsid w:val="00C62854"/>
    <w:rsid w:val="00C62F8C"/>
    <w:rsid w:val="00C637B9"/>
    <w:rsid w:val="00C66F00"/>
    <w:rsid w:val="00C670C0"/>
    <w:rsid w:val="00C74171"/>
    <w:rsid w:val="00C755A3"/>
    <w:rsid w:val="00C75D25"/>
    <w:rsid w:val="00C82C64"/>
    <w:rsid w:val="00C832CC"/>
    <w:rsid w:val="00C8474D"/>
    <w:rsid w:val="00C8555B"/>
    <w:rsid w:val="00C91BD3"/>
    <w:rsid w:val="00C97946"/>
    <w:rsid w:val="00CA1997"/>
    <w:rsid w:val="00CA45D2"/>
    <w:rsid w:val="00CA6042"/>
    <w:rsid w:val="00CA6A02"/>
    <w:rsid w:val="00CB631B"/>
    <w:rsid w:val="00CC4E1A"/>
    <w:rsid w:val="00CC66E5"/>
    <w:rsid w:val="00CC7C6C"/>
    <w:rsid w:val="00CD4B24"/>
    <w:rsid w:val="00CD5B78"/>
    <w:rsid w:val="00CE2CA1"/>
    <w:rsid w:val="00CE60B9"/>
    <w:rsid w:val="00CE65DF"/>
    <w:rsid w:val="00CE69A3"/>
    <w:rsid w:val="00CE7911"/>
    <w:rsid w:val="00CF0DA8"/>
    <w:rsid w:val="00CF1846"/>
    <w:rsid w:val="00CF43DE"/>
    <w:rsid w:val="00CF490A"/>
    <w:rsid w:val="00CF548C"/>
    <w:rsid w:val="00D05660"/>
    <w:rsid w:val="00D12D12"/>
    <w:rsid w:val="00D141DD"/>
    <w:rsid w:val="00D15B2A"/>
    <w:rsid w:val="00D22381"/>
    <w:rsid w:val="00D267BB"/>
    <w:rsid w:val="00D268E8"/>
    <w:rsid w:val="00D32159"/>
    <w:rsid w:val="00D337A2"/>
    <w:rsid w:val="00D3471F"/>
    <w:rsid w:val="00D356C0"/>
    <w:rsid w:val="00D36776"/>
    <w:rsid w:val="00D45AF7"/>
    <w:rsid w:val="00D4646B"/>
    <w:rsid w:val="00D52432"/>
    <w:rsid w:val="00D56A24"/>
    <w:rsid w:val="00D602EF"/>
    <w:rsid w:val="00D612DD"/>
    <w:rsid w:val="00D620C7"/>
    <w:rsid w:val="00D640A4"/>
    <w:rsid w:val="00D66758"/>
    <w:rsid w:val="00D66D12"/>
    <w:rsid w:val="00D735F0"/>
    <w:rsid w:val="00D74E09"/>
    <w:rsid w:val="00D75244"/>
    <w:rsid w:val="00D76E10"/>
    <w:rsid w:val="00D83A5C"/>
    <w:rsid w:val="00D84A37"/>
    <w:rsid w:val="00D871A1"/>
    <w:rsid w:val="00D87FAD"/>
    <w:rsid w:val="00D92E00"/>
    <w:rsid w:val="00D92EE6"/>
    <w:rsid w:val="00D95EF8"/>
    <w:rsid w:val="00DA1080"/>
    <w:rsid w:val="00DA7F9C"/>
    <w:rsid w:val="00DB6BB6"/>
    <w:rsid w:val="00DB7EB0"/>
    <w:rsid w:val="00DC3399"/>
    <w:rsid w:val="00DC3D16"/>
    <w:rsid w:val="00DC51D3"/>
    <w:rsid w:val="00DC6762"/>
    <w:rsid w:val="00DD3495"/>
    <w:rsid w:val="00DD3C2E"/>
    <w:rsid w:val="00DD473D"/>
    <w:rsid w:val="00DD5569"/>
    <w:rsid w:val="00DD563F"/>
    <w:rsid w:val="00DD7534"/>
    <w:rsid w:val="00DD77EE"/>
    <w:rsid w:val="00DE7976"/>
    <w:rsid w:val="00DE7DB8"/>
    <w:rsid w:val="00DF3A5B"/>
    <w:rsid w:val="00DF4625"/>
    <w:rsid w:val="00DF59B2"/>
    <w:rsid w:val="00DF6AE3"/>
    <w:rsid w:val="00E00319"/>
    <w:rsid w:val="00E00E3E"/>
    <w:rsid w:val="00E013FC"/>
    <w:rsid w:val="00E04436"/>
    <w:rsid w:val="00E1368A"/>
    <w:rsid w:val="00E15EC6"/>
    <w:rsid w:val="00E176B2"/>
    <w:rsid w:val="00E2160F"/>
    <w:rsid w:val="00E3107C"/>
    <w:rsid w:val="00E32649"/>
    <w:rsid w:val="00E41FF3"/>
    <w:rsid w:val="00E43E69"/>
    <w:rsid w:val="00E444CC"/>
    <w:rsid w:val="00E4712F"/>
    <w:rsid w:val="00E50656"/>
    <w:rsid w:val="00E515E6"/>
    <w:rsid w:val="00E51655"/>
    <w:rsid w:val="00E569DC"/>
    <w:rsid w:val="00E5795A"/>
    <w:rsid w:val="00E60EA3"/>
    <w:rsid w:val="00E63DF3"/>
    <w:rsid w:val="00E65D59"/>
    <w:rsid w:val="00E72F78"/>
    <w:rsid w:val="00E80CDD"/>
    <w:rsid w:val="00E8419D"/>
    <w:rsid w:val="00EA15C3"/>
    <w:rsid w:val="00EA2886"/>
    <w:rsid w:val="00EA2A7C"/>
    <w:rsid w:val="00EA4F56"/>
    <w:rsid w:val="00EB0AE4"/>
    <w:rsid w:val="00EB321D"/>
    <w:rsid w:val="00EC2976"/>
    <w:rsid w:val="00EC54FD"/>
    <w:rsid w:val="00ED1307"/>
    <w:rsid w:val="00ED7932"/>
    <w:rsid w:val="00EE2394"/>
    <w:rsid w:val="00EE4913"/>
    <w:rsid w:val="00EE49BA"/>
    <w:rsid w:val="00EE5045"/>
    <w:rsid w:val="00EE6598"/>
    <w:rsid w:val="00EE79A9"/>
    <w:rsid w:val="00EF0422"/>
    <w:rsid w:val="00F00EC0"/>
    <w:rsid w:val="00F0104F"/>
    <w:rsid w:val="00F03A00"/>
    <w:rsid w:val="00F06B43"/>
    <w:rsid w:val="00F06CB9"/>
    <w:rsid w:val="00F129C1"/>
    <w:rsid w:val="00F14DDE"/>
    <w:rsid w:val="00F15570"/>
    <w:rsid w:val="00F17339"/>
    <w:rsid w:val="00F17D73"/>
    <w:rsid w:val="00F20328"/>
    <w:rsid w:val="00F23DA3"/>
    <w:rsid w:val="00F24269"/>
    <w:rsid w:val="00F25378"/>
    <w:rsid w:val="00F2609E"/>
    <w:rsid w:val="00F26FC8"/>
    <w:rsid w:val="00F27BEF"/>
    <w:rsid w:val="00F3405C"/>
    <w:rsid w:val="00F35D9A"/>
    <w:rsid w:val="00F36BC2"/>
    <w:rsid w:val="00F37412"/>
    <w:rsid w:val="00F423FE"/>
    <w:rsid w:val="00F466A4"/>
    <w:rsid w:val="00F47057"/>
    <w:rsid w:val="00F513D3"/>
    <w:rsid w:val="00F5211C"/>
    <w:rsid w:val="00F55E89"/>
    <w:rsid w:val="00F56372"/>
    <w:rsid w:val="00F63FC4"/>
    <w:rsid w:val="00F65C29"/>
    <w:rsid w:val="00F66F92"/>
    <w:rsid w:val="00F672DB"/>
    <w:rsid w:val="00F7158F"/>
    <w:rsid w:val="00F74B6F"/>
    <w:rsid w:val="00F812B9"/>
    <w:rsid w:val="00F82526"/>
    <w:rsid w:val="00F835CD"/>
    <w:rsid w:val="00F863C9"/>
    <w:rsid w:val="00F86BF9"/>
    <w:rsid w:val="00F90331"/>
    <w:rsid w:val="00F928D4"/>
    <w:rsid w:val="00F93CDD"/>
    <w:rsid w:val="00F9699F"/>
    <w:rsid w:val="00FA3D52"/>
    <w:rsid w:val="00FC0AEA"/>
    <w:rsid w:val="00FC1B56"/>
    <w:rsid w:val="00FD10A3"/>
    <w:rsid w:val="00FD113E"/>
    <w:rsid w:val="00FD3F0A"/>
    <w:rsid w:val="00FD7FAB"/>
    <w:rsid w:val="00FE2A58"/>
    <w:rsid w:val="00FE36AE"/>
    <w:rsid w:val="00FE3A68"/>
    <w:rsid w:val="00FE73FA"/>
    <w:rsid w:val="00FE74FD"/>
    <w:rsid w:val="00FF0EA0"/>
    <w:rsid w:val="00FF1A5B"/>
    <w:rsid w:val="00FF1F6F"/>
    <w:rsid w:val="00FF4D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4:docId w14:val="2FEC508B"/>
  <w15:chartTrackingRefBased/>
  <w15:docId w15:val="{9EE21AA6-BCC6-455A-AD37-E87A3F85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B3A"/>
    <w:rPr>
      <w:sz w:val="24"/>
      <w:szCs w:val="24"/>
    </w:rPr>
  </w:style>
  <w:style w:type="paragraph" w:styleId="Heading1">
    <w:name w:val="heading 1"/>
    <w:basedOn w:val="Normal"/>
    <w:next w:val="Normal"/>
    <w:qFormat/>
    <w:rsid w:val="001B0993"/>
    <w:pPr>
      <w:keepNext/>
      <w:suppressAutoHyphens/>
      <w:spacing w:before="240" w:after="240"/>
      <w:jc w:val="both"/>
      <w:outlineLvl w:val="0"/>
    </w:pPr>
    <w:rPr>
      <w:b/>
      <w:smallCaps/>
      <w:szCs w:val="20"/>
      <w:lang w:val="fr-FR"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101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
    <w:name w:val="Text 3"/>
    <w:basedOn w:val="Normal"/>
    <w:rsid w:val="009F08D7"/>
    <w:pPr>
      <w:tabs>
        <w:tab w:val="left" w:pos="2302"/>
      </w:tabs>
      <w:suppressAutoHyphens/>
      <w:spacing w:after="240"/>
      <w:ind w:left="1202"/>
      <w:jc w:val="both"/>
    </w:pPr>
    <w:rPr>
      <w:szCs w:val="20"/>
      <w:lang w:val="fr-FR" w:eastAsia="ar-SA"/>
    </w:rPr>
  </w:style>
  <w:style w:type="paragraph" w:customStyle="1" w:styleId="Default">
    <w:name w:val="Default"/>
    <w:rsid w:val="00542990"/>
    <w:pPr>
      <w:autoSpaceDE w:val="0"/>
      <w:autoSpaceDN w:val="0"/>
      <w:adjustRightInd w:val="0"/>
    </w:pPr>
    <w:rPr>
      <w:rFonts w:ascii="Garamond" w:hAnsi="Garamond" w:cs="Garamond"/>
      <w:color w:val="000000"/>
      <w:sz w:val="24"/>
      <w:szCs w:val="24"/>
    </w:rPr>
  </w:style>
  <w:style w:type="character" w:styleId="Hyperlink">
    <w:name w:val="Hyperlink"/>
    <w:rsid w:val="00BC2E7A"/>
    <w:rPr>
      <w:color w:val="0000FF"/>
      <w:u w:val="single"/>
    </w:rPr>
  </w:style>
  <w:style w:type="paragraph" w:styleId="FootnoteText">
    <w:name w:val="footnote text"/>
    <w:basedOn w:val="Normal"/>
    <w:link w:val="FootnoteTextChar"/>
    <w:uiPriority w:val="99"/>
    <w:rsid w:val="001B0993"/>
    <w:rPr>
      <w:sz w:val="20"/>
      <w:szCs w:val="20"/>
    </w:rPr>
  </w:style>
  <w:style w:type="character" w:styleId="FootnoteReference">
    <w:name w:val="footnote reference"/>
    <w:aliases w:val="Footnote Reference Number,Footnote symbol"/>
    <w:uiPriority w:val="99"/>
    <w:rsid w:val="001B0993"/>
    <w:rPr>
      <w:vertAlign w:val="superscript"/>
    </w:rPr>
  </w:style>
  <w:style w:type="paragraph" w:styleId="ListParagraph">
    <w:name w:val="List Paragraph"/>
    <w:basedOn w:val="Normal"/>
    <w:uiPriority w:val="34"/>
    <w:qFormat/>
    <w:rsid w:val="003A0466"/>
    <w:pPr>
      <w:ind w:left="720"/>
      <w:contextualSpacing/>
    </w:pPr>
    <w:rPr>
      <w:szCs w:val="22"/>
    </w:rPr>
  </w:style>
  <w:style w:type="paragraph" w:styleId="ListBullet">
    <w:name w:val="List Bullet"/>
    <w:basedOn w:val="Normal"/>
    <w:rsid w:val="003A0466"/>
    <w:pPr>
      <w:numPr>
        <w:numId w:val="5"/>
      </w:numPr>
      <w:suppressAutoHyphens/>
      <w:spacing w:after="240"/>
      <w:jc w:val="both"/>
    </w:pPr>
    <w:rPr>
      <w:szCs w:val="20"/>
      <w:lang w:val="fr-FR" w:eastAsia="ar-SA"/>
    </w:rPr>
  </w:style>
  <w:style w:type="paragraph" w:styleId="NormalWeb">
    <w:name w:val="Normal (Web)"/>
    <w:basedOn w:val="Normal"/>
    <w:uiPriority w:val="99"/>
    <w:rsid w:val="00B45C7E"/>
    <w:pPr>
      <w:spacing w:before="75" w:after="75"/>
    </w:pPr>
  </w:style>
  <w:style w:type="paragraph" w:customStyle="1" w:styleId="ListBullet1">
    <w:name w:val="List Bullet 1"/>
    <w:basedOn w:val="Normal"/>
    <w:rsid w:val="006D40FC"/>
    <w:pPr>
      <w:numPr>
        <w:numId w:val="3"/>
      </w:numPr>
      <w:suppressAutoHyphens/>
      <w:spacing w:after="240"/>
      <w:ind w:left="0" w:firstLine="0"/>
      <w:jc w:val="both"/>
    </w:pPr>
    <w:rPr>
      <w:szCs w:val="20"/>
      <w:lang w:val="fr-FR" w:eastAsia="ar-SA"/>
    </w:rPr>
  </w:style>
  <w:style w:type="paragraph" w:styleId="ListBullet2">
    <w:name w:val="List Bullet 2"/>
    <w:basedOn w:val="Normal"/>
    <w:rsid w:val="006D40FC"/>
    <w:pPr>
      <w:numPr>
        <w:numId w:val="6"/>
      </w:numPr>
    </w:pPr>
  </w:style>
  <w:style w:type="paragraph" w:styleId="Header">
    <w:name w:val="header"/>
    <w:basedOn w:val="Normal"/>
    <w:rsid w:val="00180A97"/>
    <w:pPr>
      <w:tabs>
        <w:tab w:val="center" w:pos="4153"/>
        <w:tab w:val="right" w:pos="8306"/>
      </w:tabs>
    </w:pPr>
  </w:style>
  <w:style w:type="paragraph" w:styleId="Footer">
    <w:name w:val="footer"/>
    <w:basedOn w:val="Normal"/>
    <w:link w:val="FooterChar"/>
    <w:uiPriority w:val="99"/>
    <w:rsid w:val="00180A97"/>
    <w:pPr>
      <w:tabs>
        <w:tab w:val="center" w:pos="4153"/>
        <w:tab w:val="right" w:pos="8306"/>
      </w:tabs>
    </w:pPr>
  </w:style>
  <w:style w:type="character" w:styleId="PageNumber">
    <w:name w:val="page number"/>
    <w:basedOn w:val="DefaultParagraphFont"/>
    <w:rsid w:val="0075575C"/>
  </w:style>
  <w:style w:type="character" w:styleId="FollowedHyperlink">
    <w:name w:val="FollowedHyperlink"/>
    <w:rsid w:val="009B40DC"/>
    <w:rPr>
      <w:color w:val="800080"/>
      <w:u w:val="single"/>
    </w:rPr>
  </w:style>
  <w:style w:type="character" w:styleId="CommentReference">
    <w:name w:val="annotation reference"/>
    <w:uiPriority w:val="99"/>
    <w:semiHidden/>
    <w:rsid w:val="00413D53"/>
    <w:rPr>
      <w:sz w:val="16"/>
      <w:szCs w:val="16"/>
    </w:rPr>
  </w:style>
  <w:style w:type="paragraph" w:styleId="CommentText">
    <w:name w:val="annotation text"/>
    <w:basedOn w:val="Normal"/>
    <w:link w:val="CommentTextChar"/>
    <w:uiPriority w:val="99"/>
    <w:semiHidden/>
    <w:rsid w:val="00413D53"/>
    <w:rPr>
      <w:sz w:val="20"/>
      <w:szCs w:val="20"/>
    </w:rPr>
  </w:style>
  <w:style w:type="paragraph" w:styleId="CommentSubject">
    <w:name w:val="annotation subject"/>
    <w:basedOn w:val="CommentText"/>
    <w:next w:val="CommentText"/>
    <w:semiHidden/>
    <w:rsid w:val="00413D53"/>
    <w:rPr>
      <w:b/>
      <w:bCs/>
    </w:rPr>
  </w:style>
  <w:style w:type="paragraph" w:styleId="BalloonText">
    <w:name w:val="Balloon Text"/>
    <w:basedOn w:val="Normal"/>
    <w:semiHidden/>
    <w:rsid w:val="00413D53"/>
    <w:rPr>
      <w:rFonts w:ascii="Tahoma" w:hAnsi="Tahoma" w:cs="Tahoma"/>
      <w:sz w:val="16"/>
      <w:szCs w:val="16"/>
    </w:rPr>
  </w:style>
  <w:style w:type="paragraph" w:styleId="Revision">
    <w:name w:val="Revision"/>
    <w:hidden/>
    <w:uiPriority w:val="99"/>
    <w:semiHidden/>
    <w:rsid w:val="00D602EF"/>
    <w:rPr>
      <w:sz w:val="24"/>
      <w:szCs w:val="24"/>
    </w:rPr>
  </w:style>
  <w:style w:type="paragraph" w:customStyle="1" w:styleId="Text1">
    <w:name w:val="Text 1"/>
    <w:basedOn w:val="Normal"/>
    <w:rsid w:val="007C7207"/>
    <w:pPr>
      <w:spacing w:after="240"/>
      <w:ind w:left="482"/>
      <w:jc w:val="both"/>
    </w:pPr>
    <w:rPr>
      <w:snapToGrid w:val="0"/>
      <w:lang w:val="en-GB"/>
    </w:rPr>
  </w:style>
  <w:style w:type="paragraph" w:styleId="HTMLPreformatted">
    <w:name w:val="HTML Preformatted"/>
    <w:basedOn w:val="Normal"/>
    <w:link w:val="HTMLPreformattedChar"/>
    <w:rsid w:val="00D87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rsid w:val="00D871A1"/>
    <w:rPr>
      <w:rFonts w:ascii="Courier New" w:hAnsi="Courier New" w:cs="Courier New"/>
    </w:rPr>
  </w:style>
  <w:style w:type="paragraph" w:styleId="Title">
    <w:name w:val="Title"/>
    <w:basedOn w:val="Normal"/>
    <w:next w:val="Normal"/>
    <w:link w:val="TitleChar"/>
    <w:qFormat/>
    <w:rsid w:val="00D92E00"/>
    <w:pPr>
      <w:spacing w:before="240" w:after="60"/>
      <w:jc w:val="center"/>
      <w:outlineLvl w:val="0"/>
    </w:pPr>
    <w:rPr>
      <w:rFonts w:ascii="Cambria" w:hAnsi="Cambria"/>
      <w:b/>
      <w:bCs/>
      <w:kern w:val="28"/>
      <w:sz w:val="32"/>
      <w:szCs w:val="32"/>
    </w:rPr>
  </w:style>
  <w:style w:type="character" w:customStyle="1" w:styleId="TitleChar">
    <w:name w:val="Title Char"/>
    <w:link w:val="Title"/>
    <w:rsid w:val="00D92E00"/>
    <w:rPr>
      <w:rFonts w:ascii="Cambria" w:eastAsia="Times New Roman" w:hAnsi="Cambria" w:cs="Times New Roman"/>
      <w:b/>
      <w:bCs/>
      <w:kern w:val="28"/>
      <w:sz w:val="32"/>
      <w:szCs w:val="32"/>
      <w:lang w:val="lv-LV" w:eastAsia="lv-LV"/>
    </w:rPr>
  </w:style>
  <w:style w:type="character" w:styleId="Strong">
    <w:name w:val="Strong"/>
    <w:qFormat/>
    <w:rsid w:val="003B446B"/>
    <w:rPr>
      <w:b/>
      <w:bCs/>
    </w:rPr>
  </w:style>
  <w:style w:type="character" w:customStyle="1" w:styleId="FootnoteTextChar">
    <w:name w:val="Footnote Text Char"/>
    <w:link w:val="FootnoteText"/>
    <w:uiPriority w:val="99"/>
    <w:rsid w:val="00595EAB"/>
  </w:style>
  <w:style w:type="character" w:customStyle="1" w:styleId="CommentTextChar">
    <w:name w:val="Comment Text Char"/>
    <w:link w:val="CommentText"/>
    <w:uiPriority w:val="99"/>
    <w:semiHidden/>
    <w:rsid w:val="00E8419D"/>
  </w:style>
  <w:style w:type="paragraph" w:styleId="PlainText">
    <w:name w:val="Plain Text"/>
    <w:basedOn w:val="Normal"/>
    <w:link w:val="PlainTextChar"/>
    <w:uiPriority w:val="99"/>
    <w:unhideWhenUsed/>
    <w:rsid w:val="00D356C0"/>
    <w:rPr>
      <w:rFonts w:ascii="Consolas" w:eastAsia="Calibri" w:hAnsi="Consolas"/>
      <w:sz w:val="21"/>
      <w:szCs w:val="21"/>
      <w:lang w:val="x-none" w:eastAsia="x-none"/>
    </w:rPr>
  </w:style>
  <w:style w:type="character" w:customStyle="1" w:styleId="PlainTextChar">
    <w:name w:val="Plain Text Char"/>
    <w:link w:val="PlainText"/>
    <w:uiPriority w:val="99"/>
    <w:rsid w:val="00D356C0"/>
    <w:rPr>
      <w:rFonts w:ascii="Consolas" w:eastAsia="Calibri" w:hAnsi="Consolas"/>
      <w:sz w:val="21"/>
      <w:szCs w:val="21"/>
      <w:lang w:val="x-none" w:eastAsia="x-none"/>
    </w:rPr>
  </w:style>
  <w:style w:type="character" w:customStyle="1" w:styleId="hps">
    <w:name w:val="hps"/>
    <w:rsid w:val="00701A90"/>
  </w:style>
  <w:style w:type="character" w:customStyle="1" w:styleId="FooterChar">
    <w:name w:val="Footer Char"/>
    <w:link w:val="Footer"/>
    <w:uiPriority w:val="99"/>
    <w:rsid w:val="002913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4224">
      <w:bodyDiv w:val="1"/>
      <w:marLeft w:val="0"/>
      <w:marRight w:val="0"/>
      <w:marTop w:val="0"/>
      <w:marBottom w:val="0"/>
      <w:divBdr>
        <w:top w:val="none" w:sz="0" w:space="0" w:color="auto"/>
        <w:left w:val="none" w:sz="0" w:space="0" w:color="auto"/>
        <w:bottom w:val="none" w:sz="0" w:space="0" w:color="auto"/>
        <w:right w:val="none" w:sz="0" w:space="0" w:color="auto"/>
      </w:divBdr>
    </w:div>
    <w:div w:id="73095510">
      <w:bodyDiv w:val="1"/>
      <w:marLeft w:val="0"/>
      <w:marRight w:val="0"/>
      <w:marTop w:val="0"/>
      <w:marBottom w:val="0"/>
      <w:divBdr>
        <w:top w:val="none" w:sz="0" w:space="0" w:color="auto"/>
        <w:left w:val="none" w:sz="0" w:space="0" w:color="auto"/>
        <w:bottom w:val="none" w:sz="0" w:space="0" w:color="auto"/>
        <w:right w:val="none" w:sz="0" w:space="0" w:color="auto"/>
      </w:divBdr>
    </w:div>
    <w:div w:id="97258603">
      <w:bodyDiv w:val="1"/>
      <w:marLeft w:val="0"/>
      <w:marRight w:val="0"/>
      <w:marTop w:val="0"/>
      <w:marBottom w:val="0"/>
      <w:divBdr>
        <w:top w:val="none" w:sz="0" w:space="0" w:color="auto"/>
        <w:left w:val="none" w:sz="0" w:space="0" w:color="auto"/>
        <w:bottom w:val="none" w:sz="0" w:space="0" w:color="auto"/>
        <w:right w:val="none" w:sz="0" w:space="0" w:color="auto"/>
      </w:divBdr>
    </w:div>
    <w:div w:id="193081247">
      <w:bodyDiv w:val="1"/>
      <w:marLeft w:val="0"/>
      <w:marRight w:val="0"/>
      <w:marTop w:val="0"/>
      <w:marBottom w:val="0"/>
      <w:divBdr>
        <w:top w:val="none" w:sz="0" w:space="0" w:color="auto"/>
        <w:left w:val="none" w:sz="0" w:space="0" w:color="auto"/>
        <w:bottom w:val="none" w:sz="0" w:space="0" w:color="auto"/>
        <w:right w:val="none" w:sz="0" w:space="0" w:color="auto"/>
      </w:divBdr>
    </w:div>
    <w:div w:id="193466078">
      <w:bodyDiv w:val="1"/>
      <w:marLeft w:val="0"/>
      <w:marRight w:val="0"/>
      <w:marTop w:val="0"/>
      <w:marBottom w:val="0"/>
      <w:divBdr>
        <w:top w:val="none" w:sz="0" w:space="0" w:color="auto"/>
        <w:left w:val="none" w:sz="0" w:space="0" w:color="auto"/>
        <w:bottom w:val="none" w:sz="0" w:space="0" w:color="auto"/>
        <w:right w:val="none" w:sz="0" w:space="0" w:color="auto"/>
      </w:divBdr>
    </w:div>
    <w:div w:id="250286576">
      <w:bodyDiv w:val="1"/>
      <w:marLeft w:val="0"/>
      <w:marRight w:val="0"/>
      <w:marTop w:val="0"/>
      <w:marBottom w:val="0"/>
      <w:divBdr>
        <w:top w:val="none" w:sz="0" w:space="0" w:color="auto"/>
        <w:left w:val="none" w:sz="0" w:space="0" w:color="auto"/>
        <w:bottom w:val="none" w:sz="0" w:space="0" w:color="auto"/>
        <w:right w:val="none" w:sz="0" w:space="0" w:color="auto"/>
      </w:divBdr>
    </w:div>
    <w:div w:id="258683272">
      <w:bodyDiv w:val="1"/>
      <w:marLeft w:val="0"/>
      <w:marRight w:val="0"/>
      <w:marTop w:val="0"/>
      <w:marBottom w:val="0"/>
      <w:divBdr>
        <w:top w:val="none" w:sz="0" w:space="0" w:color="auto"/>
        <w:left w:val="none" w:sz="0" w:space="0" w:color="auto"/>
        <w:bottom w:val="none" w:sz="0" w:space="0" w:color="auto"/>
        <w:right w:val="none" w:sz="0" w:space="0" w:color="auto"/>
      </w:divBdr>
    </w:div>
    <w:div w:id="337733969">
      <w:bodyDiv w:val="1"/>
      <w:marLeft w:val="0"/>
      <w:marRight w:val="0"/>
      <w:marTop w:val="0"/>
      <w:marBottom w:val="0"/>
      <w:divBdr>
        <w:top w:val="none" w:sz="0" w:space="0" w:color="auto"/>
        <w:left w:val="none" w:sz="0" w:space="0" w:color="auto"/>
        <w:bottom w:val="none" w:sz="0" w:space="0" w:color="auto"/>
        <w:right w:val="none" w:sz="0" w:space="0" w:color="auto"/>
      </w:divBdr>
    </w:div>
    <w:div w:id="432363684">
      <w:bodyDiv w:val="1"/>
      <w:marLeft w:val="450"/>
      <w:marRight w:val="450"/>
      <w:marTop w:val="450"/>
      <w:marBottom w:val="450"/>
      <w:divBdr>
        <w:top w:val="none" w:sz="0" w:space="0" w:color="auto"/>
        <w:left w:val="none" w:sz="0" w:space="0" w:color="auto"/>
        <w:bottom w:val="none" w:sz="0" w:space="0" w:color="auto"/>
        <w:right w:val="none" w:sz="0" w:space="0" w:color="auto"/>
      </w:divBdr>
      <w:divsChild>
        <w:div w:id="480124980">
          <w:marLeft w:val="0"/>
          <w:marRight w:val="0"/>
          <w:marTop w:val="0"/>
          <w:marBottom w:val="0"/>
          <w:divBdr>
            <w:top w:val="none" w:sz="0" w:space="0" w:color="auto"/>
            <w:left w:val="none" w:sz="0" w:space="0" w:color="auto"/>
            <w:bottom w:val="none" w:sz="0" w:space="0" w:color="auto"/>
            <w:right w:val="none" w:sz="0" w:space="0" w:color="auto"/>
          </w:divBdr>
        </w:div>
        <w:div w:id="2057969720">
          <w:marLeft w:val="0"/>
          <w:marRight w:val="0"/>
          <w:marTop w:val="0"/>
          <w:marBottom w:val="0"/>
          <w:divBdr>
            <w:top w:val="none" w:sz="0" w:space="0" w:color="auto"/>
            <w:left w:val="none" w:sz="0" w:space="0" w:color="auto"/>
            <w:bottom w:val="none" w:sz="0" w:space="0" w:color="auto"/>
            <w:right w:val="none" w:sz="0" w:space="0" w:color="auto"/>
          </w:divBdr>
        </w:div>
      </w:divsChild>
    </w:div>
    <w:div w:id="568927816">
      <w:bodyDiv w:val="1"/>
      <w:marLeft w:val="0"/>
      <w:marRight w:val="0"/>
      <w:marTop w:val="0"/>
      <w:marBottom w:val="0"/>
      <w:divBdr>
        <w:top w:val="none" w:sz="0" w:space="0" w:color="auto"/>
        <w:left w:val="none" w:sz="0" w:space="0" w:color="auto"/>
        <w:bottom w:val="none" w:sz="0" w:space="0" w:color="auto"/>
        <w:right w:val="none" w:sz="0" w:space="0" w:color="auto"/>
      </w:divBdr>
    </w:div>
    <w:div w:id="598102592">
      <w:bodyDiv w:val="1"/>
      <w:marLeft w:val="0"/>
      <w:marRight w:val="0"/>
      <w:marTop w:val="0"/>
      <w:marBottom w:val="0"/>
      <w:divBdr>
        <w:top w:val="none" w:sz="0" w:space="0" w:color="auto"/>
        <w:left w:val="none" w:sz="0" w:space="0" w:color="auto"/>
        <w:bottom w:val="none" w:sz="0" w:space="0" w:color="auto"/>
        <w:right w:val="none" w:sz="0" w:space="0" w:color="auto"/>
      </w:divBdr>
    </w:div>
    <w:div w:id="642200644">
      <w:bodyDiv w:val="1"/>
      <w:marLeft w:val="0"/>
      <w:marRight w:val="0"/>
      <w:marTop w:val="0"/>
      <w:marBottom w:val="0"/>
      <w:divBdr>
        <w:top w:val="none" w:sz="0" w:space="0" w:color="auto"/>
        <w:left w:val="none" w:sz="0" w:space="0" w:color="auto"/>
        <w:bottom w:val="none" w:sz="0" w:space="0" w:color="auto"/>
        <w:right w:val="none" w:sz="0" w:space="0" w:color="auto"/>
      </w:divBdr>
    </w:div>
    <w:div w:id="738212698">
      <w:bodyDiv w:val="1"/>
      <w:marLeft w:val="0"/>
      <w:marRight w:val="0"/>
      <w:marTop w:val="0"/>
      <w:marBottom w:val="0"/>
      <w:divBdr>
        <w:top w:val="none" w:sz="0" w:space="0" w:color="auto"/>
        <w:left w:val="none" w:sz="0" w:space="0" w:color="auto"/>
        <w:bottom w:val="none" w:sz="0" w:space="0" w:color="auto"/>
        <w:right w:val="none" w:sz="0" w:space="0" w:color="auto"/>
      </w:divBdr>
    </w:div>
    <w:div w:id="822089084">
      <w:bodyDiv w:val="1"/>
      <w:marLeft w:val="0"/>
      <w:marRight w:val="0"/>
      <w:marTop w:val="0"/>
      <w:marBottom w:val="0"/>
      <w:divBdr>
        <w:top w:val="none" w:sz="0" w:space="0" w:color="auto"/>
        <w:left w:val="none" w:sz="0" w:space="0" w:color="auto"/>
        <w:bottom w:val="none" w:sz="0" w:space="0" w:color="auto"/>
        <w:right w:val="none" w:sz="0" w:space="0" w:color="auto"/>
      </w:divBdr>
    </w:div>
    <w:div w:id="1161459928">
      <w:bodyDiv w:val="1"/>
      <w:marLeft w:val="0"/>
      <w:marRight w:val="0"/>
      <w:marTop w:val="0"/>
      <w:marBottom w:val="0"/>
      <w:divBdr>
        <w:top w:val="none" w:sz="0" w:space="0" w:color="auto"/>
        <w:left w:val="none" w:sz="0" w:space="0" w:color="auto"/>
        <w:bottom w:val="none" w:sz="0" w:space="0" w:color="auto"/>
        <w:right w:val="none" w:sz="0" w:space="0" w:color="auto"/>
      </w:divBdr>
    </w:div>
    <w:div w:id="1275598976">
      <w:bodyDiv w:val="1"/>
      <w:marLeft w:val="0"/>
      <w:marRight w:val="0"/>
      <w:marTop w:val="0"/>
      <w:marBottom w:val="0"/>
      <w:divBdr>
        <w:top w:val="none" w:sz="0" w:space="0" w:color="auto"/>
        <w:left w:val="none" w:sz="0" w:space="0" w:color="auto"/>
        <w:bottom w:val="none" w:sz="0" w:space="0" w:color="auto"/>
        <w:right w:val="none" w:sz="0" w:space="0" w:color="auto"/>
      </w:divBdr>
    </w:div>
    <w:div w:id="1291478654">
      <w:bodyDiv w:val="1"/>
      <w:marLeft w:val="0"/>
      <w:marRight w:val="0"/>
      <w:marTop w:val="0"/>
      <w:marBottom w:val="0"/>
      <w:divBdr>
        <w:top w:val="none" w:sz="0" w:space="0" w:color="auto"/>
        <w:left w:val="none" w:sz="0" w:space="0" w:color="auto"/>
        <w:bottom w:val="none" w:sz="0" w:space="0" w:color="auto"/>
        <w:right w:val="none" w:sz="0" w:space="0" w:color="auto"/>
      </w:divBdr>
    </w:div>
    <w:div w:id="1348946138">
      <w:bodyDiv w:val="1"/>
      <w:marLeft w:val="0"/>
      <w:marRight w:val="0"/>
      <w:marTop w:val="0"/>
      <w:marBottom w:val="0"/>
      <w:divBdr>
        <w:top w:val="none" w:sz="0" w:space="0" w:color="auto"/>
        <w:left w:val="none" w:sz="0" w:space="0" w:color="auto"/>
        <w:bottom w:val="none" w:sz="0" w:space="0" w:color="auto"/>
        <w:right w:val="none" w:sz="0" w:space="0" w:color="auto"/>
      </w:divBdr>
    </w:div>
    <w:div w:id="1659840462">
      <w:bodyDiv w:val="1"/>
      <w:marLeft w:val="0"/>
      <w:marRight w:val="0"/>
      <w:marTop w:val="0"/>
      <w:marBottom w:val="0"/>
      <w:divBdr>
        <w:top w:val="none" w:sz="0" w:space="0" w:color="auto"/>
        <w:left w:val="none" w:sz="0" w:space="0" w:color="auto"/>
        <w:bottom w:val="none" w:sz="0" w:space="0" w:color="auto"/>
        <w:right w:val="none" w:sz="0" w:space="0" w:color="auto"/>
      </w:divBdr>
      <w:divsChild>
        <w:div w:id="148329037">
          <w:marLeft w:val="1166"/>
          <w:marRight w:val="0"/>
          <w:marTop w:val="96"/>
          <w:marBottom w:val="0"/>
          <w:divBdr>
            <w:top w:val="none" w:sz="0" w:space="0" w:color="auto"/>
            <w:left w:val="none" w:sz="0" w:space="0" w:color="auto"/>
            <w:bottom w:val="none" w:sz="0" w:space="0" w:color="auto"/>
            <w:right w:val="none" w:sz="0" w:space="0" w:color="auto"/>
          </w:divBdr>
        </w:div>
        <w:div w:id="487596618">
          <w:marLeft w:val="1166"/>
          <w:marRight w:val="0"/>
          <w:marTop w:val="96"/>
          <w:marBottom w:val="0"/>
          <w:divBdr>
            <w:top w:val="none" w:sz="0" w:space="0" w:color="auto"/>
            <w:left w:val="none" w:sz="0" w:space="0" w:color="auto"/>
            <w:bottom w:val="none" w:sz="0" w:space="0" w:color="auto"/>
            <w:right w:val="none" w:sz="0" w:space="0" w:color="auto"/>
          </w:divBdr>
        </w:div>
        <w:div w:id="1445076797">
          <w:marLeft w:val="547"/>
          <w:marRight w:val="0"/>
          <w:marTop w:val="115"/>
          <w:marBottom w:val="0"/>
          <w:divBdr>
            <w:top w:val="none" w:sz="0" w:space="0" w:color="auto"/>
            <w:left w:val="none" w:sz="0" w:space="0" w:color="auto"/>
            <w:bottom w:val="none" w:sz="0" w:space="0" w:color="auto"/>
            <w:right w:val="none" w:sz="0" w:space="0" w:color="auto"/>
          </w:divBdr>
        </w:div>
        <w:div w:id="1915318808">
          <w:marLeft w:val="1166"/>
          <w:marRight w:val="0"/>
          <w:marTop w:val="96"/>
          <w:marBottom w:val="0"/>
          <w:divBdr>
            <w:top w:val="none" w:sz="0" w:space="0" w:color="auto"/>
            <w:left w:val="none" w:sz="0" w:space="0" w:color="auto"/>
            <w:bottom w:val="none" w:sz="0" w:space="0" w:color="auto"/>
            <w:right w:val="none" w:sz="0" w:space="0" w:color="auto"/>
          </w:divBdr>
        </w:div>
      </w:divsChild>
    </w:div>
    <w:div w:id="1810247020">
      <w:bodyDiv w:val="1"/>
      <w:marLeft w:val="0"/>
      <w:marRight w:val="0"/>
      <w:marTop w:val="0"/>
      <w:marBottom w:val="0"/>
      <w:divBdr>
        <w:top w:val="none" w:sz="0" w:space="0" w:color="auto"/>
        <w:left w:val="none" w:sz="0" w:space="0" w:color="auto"/>
        <w:bottom w:val="none" w:sz="0" w:space="0" w:color="auto"/>
        <w:right w:val="none" w:sz="0" w:space="0" w:color="auto"/>
      </w:divBdr>
    </w:div>
    <w:div w:id="1957368334">
      <w:bodyDiv w:val="1"/>
      <w:marLeft w:val="0"/>
      <w:marRight w:val="0"/>
      <w:marTop w:val="0"/>
      <w:marBottom w:val="0"/>
      <w:divBdr>
        <w:top w:val="none" w:sz="0" w:space="0" w:color="auto"/>
        <w:left w:val="none" w:sz="0" w:space="0" w:color="auto"/>
        <w:bottom w:val="none" w:sz="0" w:space="0" w:color="auto"/>
        <w:right w:val="none" w:sz="0" w:space="0" w:color="auto"/>
      </w:divBdr>
    </w:div>
    <w:div w:id="1996494151">
      <w:bodyDiv w:val="1"/>
      <w:marLeft w:val="0"/>
      <w:marRight w:val="0"/>
      <w:marTop w:val="0"/>
      <w:marBottom w:val="0"/>
      <w:divBdr>
        <w:top w:val="none" w:sz="0" w:space="0" w:color="auto"/>
        <w:left w:val="none" w:sz="0" w:space="0" w:color="auto"/>
        <w:bottom w:val="none" w:sz="0" w:space="0" w:color="auto"/>
        <w:right w:val="none" w:sz="0" w:space="0" w:color="auto"/>
      </w:divBdr>
    </w:div>
    <w:div w:id="2015835749">
      <w:bodyDiv w:val="1"/>
      <w:marLeft w:val="0"/>
      <w:marRight w:val="0"/>
      <w:marTop w:val="0"/>
      <w:marBottom w:val="0"/>
      <w:divBdr>
        <w:top w:val="none" w:sz="0" w:space="0" w:color="auto"/>
        <w:left w:val="none" w:sz="0" w:space="0" w:color="auto"/>
        <w:bottom w:val="none" w:sz="0" w:space="0" w:color="auto"/>
        <w:right w:val="none" w:sz="0" w:space="0" w:color="auto"/>
      </w:divBdr>
    </w:div>
    <w:div w:id="21001799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ondi.lv/page.php?id=101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regional_policy/sources/docoffic/cocof/2013/cocof_13_9527_annexe_en.pdf" TargetMode="External"/><Relationship Id="rId2" Type="http://schemas.openxmlformats.org/officeDocument/2006/relationships/hyperlink" Target="http://www.esfondi.lv/page.php?id=1196" TargetMode="External"/><Relationship Id="rId1" Type="http://schemas.openxmlformats.org/officeDocument/2006/relationships/hyperlink" Target="http://www.esfondi.lv/upload/02-kohezijas_fonds/Lielie_projekti/EK_vadl_par_viltotu_dok_identif_EN.pdf" TargetMode="External"/><Relationship Id="rId5" Type="http://schemas.openxmlformats.org/officeDocument/2006/relationships/hyperlink" Target="http://www.esfondi.lv/upload/02-kohezijas_fonds/Lielie_projekti/EK_vadl_par_interesu_konflikta_identif_publ_iepirk_EN.pdf" TargetMode="External"/><Relationship Id="rId4" Type="http://schemas.openxmlformats.org/officeDocument/2006/relationships/hyperlink" Target="http://www.esfondi.lv/upload/00-vadlinijas/vadlinijas_2014/Vadliniju_pieliku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FB137-523A-4078-8180-F5EDB04DA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35</Pages>
  <Words>9431</Words>
  <Characters>65236</Characters>
  <Application>Microsoft Office Word</Application>
  <DocSecurity>0</DocSecurity>
  <Lines>543</Lines>
  <Paragraphs>149</Paragraphs>
  <ScaleCrop>false</ScaleCrop>
  <HeadingPairs>
    <vt:vector size="2" baseType="variant">
      <vt:variant>
        <vt:lpstr>Title</vt:lpstr>
      </vt:variant>
      <vt:variant>
        <vt:i4>1</vt:i4>
      </vt:variant>
    </vt:vector>
  </HeadingPairs>
  <TitlesOfParts>
    <vt:vector size="1" baseType="lpstr">
      <vt:lpstr>2</vt:lpstr>
    </vt:vector>
  </TitlesOfParts>
  <Company>LT</Company>
  <LinksUpToDate>false</LinksUpToDate>
  <CharactersWithSpaces>74518</CharactersWithSpaces>
  <SharedDoc>false</SharedDoc>
  <HLinks>
    <vt:vector size="36" baseType="variant">
      <vt:variant>
        <vt:i4>3866746</vt:i4>
      </vt:variant>
      <vt:variant>
        <vt:i4>0</vt:i4>
      </vt:variant>
      <vt:variant>
        <vt:i4>0</vt:i4>
      </vt:variant>
      <vt:variant>
        <vt:i4>5</vt:i4>
      </vt:variant>
      <vt:variant>
        <vt:lpwstr>http://www.esfondi.lv/page.php?id=1017</vt:lpwstr>
      </vt:variant>
      <vt:variant>
        <vt:lpwstr/>
      </vt:variant>
      <vt:variant>
        <vt:i4>4784153</vt:i4>
      </vt:variant>
      <vt:variant>
        <vt:i4>12</vt:i4>
      </vt:variant>
      <vt:variant>
        <vt:i4>0</vt:i4>
      </vt:variant>
      <vt:variant>
        <vt:i4>5</vt:i4>
      </vt:variant>
      <vt:variant>
        <vt:lpwstr>http://www.esfondi.lv/upload/02-kohezijas_fonds/Lielie_projekti/EK_vadl_par_interesu_konflikta_identif_publ_iepirk_EN.pdf</vt:lpwstr>
      </vt:variant>
      <vt:variant>
        <vt:lpwstr/>
      </vt:variant>
      <vt:variant>
        <vt:i4>5439490</vt:i4>
      </vt:variant>
      <vt:variant>
        <vt:i4>9</vt:i4>
      </vt:variant>
      <vt:variant>
        <vt:i4>0</vt:i4>
      </vt:variant>
      <vt:variant>
        <vt:i4>5</vt:i4>
      </vt:variant>
      <vt:variant>
        <vt:lpwstr>http://www.esfondi.lv/upload/00-vadlinijas/vadlinijas_2014/Vadliniju_pielikums.pdf</vt:lpwstr>
      </vt:variant>
      <vt:variant>
        <vt:lpwstr/>
      </vt:variant>
      <vt:variant>
        <vt:i4>7209036</vt:i4>
      </vt:variant>
      <vt:variant>
        <vt:i4>6</vt:i4>
      </vt:variant>
      <vt:variant>
        <vt:i4>0</vt:i4>
      </vt:variant>
      <vt:variant>
        <vt:i4>5</vt:i4>
      </vt:variant>
      <vt:variant>
        <vt:lpwstr>http://ec.europa.eu/regional_policy/sources/docoffic/cocof/2013/cocof_13_9527_annexe_en.pdf</vt:lpwstr>
      </vt:variant>
      <vt:variant>
        <vt:lpwstr/>
      </vt:variant>
      <vt:variant>
        <vt:i4>3866738</vt:i4>
      </vt:variant>
      <vt:variant>
        <vt:i4>3</vt:i4>
      </vt:variant>
      <vt:variant>
        <vt:i4>0</vt:i4>
      </vt:variant>
      <vt:variant>
        <vt:i4>5</vt:i4>
      </vt:variant>
      <vt:variant>
        <vt:lpwstr>http://www.esfondi.lv/page.php?id=1196</vt:lpwstr>
      </vt:variant>
      <vt:variant>
        <vt:lpwstr/>
      </vt:variant>
      <vt:variant>
        <vt:i4>6815776</vt:i4>
      </vt:variant>
      <vt:variant>
        <vt:i4>0</vt:i4>
      </vt:variant>
      <vt:variant>
        <vt:i4>0</vt:i4>
      </vt:variant>
      <vt:variant>
        <vt:i4>5</vt:i4>
      </vt:variant>
      <vt:variant>
        <vt:lpwstr>http://www.esfondi.lv/upload/02-kohezijas_fonds/Lielie_projekti/EK_vadl_par_viltotu_dok_identif_EN.pdf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fvd-apsen</dc:creator>
  <cp:keywords/>
  <dc:description/>
  <cp:lastModifiedBy>Aļesja Boriseviča</cp:lastModifiedBy>
  <cp:revision>28</cp:revision>
  <cp:lastPrinted>2013-04-25T09:59:00Z</cp:lastPrinted>
  <dcterms:created xsi:type="dcterms:W3CDTF">2016-08-26T06:14:00Z</dcterms:created>
  <dcterms:modified xsi:type="dcterms:W3CDTF">2017-08-22T08:57:00Z</dcterms:modified>
</cp:coreProperties>
</file>