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0B60E" w14:textId="2CC053C4" w:rsidR="00C23909" w:rsidRDefault="009F519D" w:rsidP="005A13F5">
      <w:pPr>
        <w:spacing w:after="0"/>
        <w:ind w:right="-8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23909">
        <w:rPr>
          <w:rFonts w:ascii="Times New Roman" w:hAnsi="Times New Roman" w:cs="Times New Roman"/>
          <w:sz w:val="24"/>
          <w:szCs w:val="24"/>
        </w:rPr>
        <w:t>.pielikums</w:t>
      </w:r>
    </w:p>
    <w:p w14:paraId="08C3B697" w14:textId="77777777" w:rsidR="00BF4891" w:rsidRDefault="00BF4891" w:rsidP="004C5006">
      <w:pPr>
        <w:spacing w:after="0"/>
        <w:ind w:right="-87"/>
        <w:rPr>
          <w:rFonts w:ascii="Times New Roman" w:hAnsi="Times New Roman" w:cs="Times New Roman"/>
          <w:b/>
          <w:sz w:val="24"/>
          <w:szCs w:val="24"/>
        </w:rPr>
      </w:pPr>
    </w:p>
    <w:p w14:paraId="695A3FD2" w14:textId="00C7ACC4" w:rsidR="004C5006" w:rsidRDefault="004C5006" w:rsidP="00BF4891">
      <w:pPr>
        <w:spacing w:after="0"/>
        <w:ind w:right="-87"/>
        <w:jc w:val="center"/>
        <w:rPr>
          <w:rFonts w:ascii="Times New Roman" w:hAnsi="Times New Roman" w:cs="Times New Roman"/>
          <w:sz w:val="24"/>
          <w:szCs w:val="24"/>
        </w:rPr>
      </w:pPr>
      <w:r w:rsidRPr="00C23909">
        <w:rPr>
          <w:rFonts w:ascii="Times New Roman" w:hAnsi="Times New Roman" w:cs="Times New Roman"/>
          <w:b/>
          <w:sz w:val="24"/>
          <w:szCs w:val="24"/>
        </w:rPr>
        <w:t>ES fondu administrēšanā iesaistīto institūciju lom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C23909">
        <w:rPr>
          <w:rFonts w:ascii="Times New Roman" w:hAnsi="Times New Roman" w:cs="Times New Roman"/>
          <w:b/>
          <w:sz w:val="24"/>
          <w:szCs w:val="24"/>
        </w:rPr>
        <w:t xml:space="preserve"> neatbilstību administrēšanā</w:t>
      </w:r>
    </w:p>
    <w:p w14:paraId="2D186AD6" w14:textId="1D129F2D" w:rsidR="004C5006" w:rsidRDefault="004C5006" w:rsidP="005A13F5">
      <w:pPr>
        <w:spacing w:after="0"/>
        <w:ind w:right="-87"/>
        <w:jc w:val="right"/>
        <w:rPr>
          <w:rFonts w:ascii="Times New Roman" w:hAnsi="Times New Roman" w:cs="Times New Roman"/>
          <w:sz w:val="24"/>
          <w:szCs w:val="24"/>
        </w:rPr>
      </w:pPr>
    </w:p>
    <w:p w14:paraId="6E714BC0" w14:textId="2396B01D" w:rsidR="004C5006" w:rsidRPr="004C5006" w:rsidRDefault="004C5006" w:rsidP="00D50DDB">
      <w:pPr>
        <w:spacing w:after="0" w:line="276" w:lineRule="auto"/>
        <w:ind w:right="-8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5006">
        <w:rPr>
          <w:rFonts w:ascii="Times New Roman" w:hAnsi="Times New Roman" w:cs="Times New Roman"/>
          <w:b/>
          <w:sz w:val="24"/>
          <w:szCs w:val="24"/>
          <w:u w:val="single"/>
        </w:rPr>
        <w:t>VI:</w:t>
      </w:r>
    </w:p>
    <w:p w14:paraId="433392C8" w14:textId="4563496B" w:rsidR="004C5006" w:rsidRPr="004C5006" w:rsidRDefault="004C5006" w:rsidP="00D50DDB">
      <w:pPr>
        <w:pStyle w:val="ListParagraph"/>
        <w:numPr>
          <w:ilvl w:val="0"/>
          <w:numId w:val="1"/>
        </w:numPr>
        <w:tabs>
          <w:tab w:val="clear" w:pos="720"/>
        </w:tabs>
        <w:ind w:left="709" w:hanging="426"/>
        <w:jc w:val="both"/>
        <w:rPr>
          <w:color w:val="000000" w:themeColor="text1"/>
        </w:rPr>
      </w:pPr>
      <w:r w:rsidRPr="004C5006">
        <w:rPr>
          <w:rFonts w:eastAsia="+mn-ea"/>
          <w:color w:val="000000" w:themeColor="text1"/>
        </w:rPr>
        <w:t>konstatē iespējamo neatbilstību un informē par to SI</w:t>
      </w:r>
      <w:r w:rsidR="00D50DDB">
        <w:rPr>
          <w:rFonts w:eastAsia="+mn-ea"/>
          <w:color w:val="000000" w:themeColor="text1"/>
        </w:rPr>
        <w:t>;</w:t>
      </w:r>
    </w:p>
    <w:p w14:paraId="2C92CF3C" w14:textId="15ECCF01" w:rsidR="004C5006" w:rsidRPr="004C5006" w:rsidRDefault="004C5006" w:rsidP="00D50DDB">
      <w:pPr>
        <w:pStyle w:val="ListParagraph"/>
        <w:numPr>
          <w:ilvl w:val="0"/>
          <w:numId w:val="1"/>
        </w:numPr>
        <w:tabs>
          <w:tab w:val="clear" w:pos="720"/>
        </w:tabs>
        <w:ind w:left="709" w:hanging="426"/>
        <w:jc w:val="both"/>
        <w:rPr>
          <w:color w:val="000000" w:themeColor="text1"/>
        </w:rPr>
      </w:pPr>
      <w:r w:rsidRPr="004C5006">
        <w:rPr>
          <w:rFonts w:eastAsia="+mn-ea"/>
          <w:color w:val="000000" w:themeColor="text1"/>
        </w:rPr>
        <w:t>veic deleģēto funkciju izpildes uzraudzību</w:t>
      </w:r>
      <w:r w:rsidR="00D50DDB">
        <w:rPr>
          <w:rFonts w:eastAsia="+mn-ea"/>
          <w:color w:val="000000" w:themeColor="text1"/>
        </w:rPr>
        <w:t>;</w:t>
      </w:r>
    </w:p>
    <w:p w14:paraId="1724FCB4" w14:textId="3FFFC55F" w:rsidR="004C5006" w:rsidRPr="004C5006" w:rsidRDefault="004C5006" w:rsidP="00D50DDB">
      <w:pPr>
        <w:pStyle w:val="ListParagraph"/>
        <w:numPr>
          <w:ilvl w:val="0"/>
          <w:numId w:val="1"/>
        </w:numPr>
        <w:tabs>
          <w:tab w:val="clear" w:pos="720"/>
        </w:tabs>
        <w:ind w:left="709" w:hanging="426"/>
        <w:jc w:val="both"/>
        <w:rPr>
          <w:color w:val="000000" w:themeColor="text1"/>
        </w:rPr>
      </w:pPr>
      <w:r w:rsidRPr="004C5006">
        <w:rPr>
          <w:rFonts w:eastAsia="+mn-ea"/>
          <w:color w:val="000000" w:themeColor="text1"/>
        </w:rPr>
        <w:t>veic neatbilstību uzraudzību un analīzi DP, SAM, SAM pasākumu līmenī, t.sk. pēcpārbaudi jeb progresu par krāpšanas gadījumiem</w:t>
      </w:r>
      <w:r w:rsidR="00D50DDB">
        <w:rPr>
          <w:rFonts w:eastAsia="+mn-ea"/>
          <w:color w:val="000000" w:themeColor="text1"/>
        </w:rPr>
        <w:t>;</w:t>
      </w:r>
    </w:p>
    <w:p w14:paraId="00FF38F2" w14:textId="5C6A3B55" w:rsidR="004C5006" w:rsidRPr="004C5006" w:rsidRDefault="004C5006" w:rsidP="00D50DDB">
      <w:pPr>
        <w:pStyle w:val="ListParagraph"/>
        <w:numPr>
          <w:ilvl w:val="0"/>
          <w:numId w:val="1"/>
        </w:numPr>
        <w:tabs>
          <w:tab w:val="clear" w:pos="720"/>
        </w:tabs>
        <w:ind w:left="709" w:hanging="426"/>
        <w:jc w:val="both"/>
        <w:rPr>
          <w:color w:val="000000" w:themeColor="text1"/>
        </w:rPr>
      </w:pPr>
      <w:r w:rsidRPr="004C5006">
        <w:rPr>
          <w:rFonts w:eastAsia="+mn-ea"/>
          <w:color w:val="000000" w:themeColor="text1"/>
        </w:rPr>
        <w:t>organizē ceturkšņa neatbilstību sanāksmes</w:t>
      </w:r>
      <w:r w:rsidR="00D50DDB">
        <w:rPr>
          <w:rFonts w:eastAsia="+mn-ea"/>
          <w:color w:val="000000" w:themeColor="text1"/>
        </w:rPr>
        <w:t>;</w:t>
      </w:r>
    </w:p>
    <w:p w14:paraId="5A384E31" w14:textId="25149B1C" w:rsidR="004C5006" w:rsidRPr="004C5006" w:rsidRDefault="004C5006" w:rsidP="00D50DDB">
      <w:pPr>
        <w:pStyle w:val="ListParagraph"/>
        <w:numPr>
          <w:ilvl w:val="0"/>
          <w:numId w:val="1"/>
        </w:numPr>
        <w:tabs>
          <w:tab w:val="clear" w:pos="720"/>
        </w:tabs>
        <w:ind w:left="709" w:hanging="426"/>
        <w:jc w:val="both"/>
        <w:rPr>
          <w:color w:val="000000" w:themeColor="text1"/>
        </w:rPr>
      </w:pPr>
      <w:r w:rsidRPr="004C5006">
        <w:rPr>
          <w:rFonts w:eastAsia="+mn-ea"/>
          <w:color w:val="000000" w:themeColor="text1"/>
        </w:rPr>
        <w:t>izskata FS (ja tā ir tiešās vai pastarpinātās pārvaldes iestāde, atvasināta publiska persona vai cita valsts iestāde) iesniegumu SI lēmumu par piešķirto finanšu līdzekļu izmaksāšanu apstrīdēšanas gadījumos</w:t>
      </w:r>
      <w:r w:rsidR="00D50DDB">
        <w:rPr>
          <w:rFonts w:eastAsia="+mn-ea"/>
          <w:color w:val="000000" w:themeColor="text1"/>
        </w:rPr>
        <w:t>;</w:t>
      </w:r>
    </w:p>
    <w:p w14:paraId="3D1C8312" w14:textId="72731586" w:rsidR="004C5006" w:rsidRPr="004C5006" w:rsidRDefault="004C5006" w:rsidP="00D50DDB">
      <w:pPr>
        <w:pStyle w:val="ListParagraph"/>
        <w:numPr>
          <w:ilvl w:val="0"/>
          <w:numId w:val="1"/>
        </w:numPr>
        <w:tabs>
          <w:tab w:val="clear" w:pos="720"/>
        </w:tabs>
        <w:ind w:left="709" w:hanging="426"/>
        <w:jc w:val="both"/>
        <w:rPr>
          <w:color w:val="000000" w:themeColor="text1"/>
        </w:rPr>
      </w:pPr>
      <w:r w:rsidRPr="004C5006">
        <w:rPr>
          <w:rFonts w:eastAsia="+mn-ea"/>
          <w:color w:val="000000" w:themeColor="text1"/>
        </w:rPr>
        <w:t xml:space="preserve">izstrādā pārvaldības deklarācijas un </w:t>
      </w:r>
      <w:r w:rsidR="004B5446">
        <w:rPr>
          <w:rFonts w:eastAsia="+mn-ea"/>
          <w:color w:val="000000" w:themeColor="text1"/>
        </w:rPr>
        <w:t xml:space="preserve">galīgo revīzijas ziņojumu un veikto kontroļu </w:t>
      </w:r>
      <w:r w:rsidRPr="004C5006">
        <w:rPr>
          <w:rFonts w:eastAsia="+mn-ea"/>
          <w:color w:val="000000" w:themeColor="text1"/>
        </w:rPr>
        <w:t>gada kopsavilkum</w:t>
      </w:r>
      <w:r w:rsidR="004B5446">
        <w:rPr>
          <w:rFonts w:eastAsia="+mn-ea"/>
          <w:color w:val="000000" w:themeColor="text1"/>
        </w:rPr>
        <w:t>a ziņojumus</w:t>
      </w:r>
      <w:r w:rsidR="00D50DDB">
        <w:rPr>
          <w:rFonts w:eastAsia="+mn-ea"/>
          <w:color w:val="000000" w:themeColor="text1"/>
        </w:rPr>
        <w:t>;</w:t>
      </w:r>
    </w:p>
    <w:p w14:paraId="09DD239B" w14:textId="56A7F14B" w:rsidR="004C5006" w:rsidRPr="004C5006" w:rsidRDefault="004C5006" w:rsidP="00D50DDB">
      <w:pPr>
        <w:pStyle w:val="ListParagraph"/>
        <w:numPr>
          <w:ilvl w:val="0"/>
          <w:numId w:val="1"/>
        </w:numPr>
        <w:tabs>
          <w:tab w:val="clear" w:pos="720"/>
        </w:tabs>
        <w:ind w:left="709" w:hanging="426"/>
        <w:jc w:val="both"/>
        <w:rPr>
          <w:color w:val="000000" w:themeColor="text1"/>
        </w:rPr>
      </w:pPr>
      <w:r w:rsidRPr="004C5006">
        <w:rPr>
          <w:rFonts w:eastAsia="+mn-ea"/>
          <w:color w:val="000000" w:themeColor="text1"/>
        </w:rPr>
        <w:t>piedalās AFCOS padomes sēdēs</w:t>
      </w:r>
      <w:r w:rsidR="00D50DDB">
        <w:rPr>
          <w:rFonts w:eastAsia="+mn-ea"/>
          <w:color w:val="000000" w:themeColor="text1"/>
        </w:rPr>
        <w:t>;</w:t>
      </w:r>
    </w:p>
    <w:p w14:paraId="03ABB187" w14:textId="293B8167" w:rsidR="004C5006" w:rsidRPr="004C5006" w:rsidRDefault="004C5006" w:rsidP="00D50DDB">
      <w:pPr>
        <w:pStyle w:val="ListParagraph"/>
        <w:numPr>
          <w:ilvl w:val="0"/>
          <w:numId w:val="1"/>
        </w:numPr>
        <w:tabs>
          <w:tab w:val="clear" w:pos="720"/>
        </w:tabs>
        <w:ind w:left="709" w:hanging="426"/>
        <w:jc w:val="both"/>
        <w:rPr>
          <w:color w:val="000000" w:themeColor="text1"/>
        </w:rPr>
      </w:pPr>
      <w:r w:rsidRPr="004C5006">
        <w:rPr>
          <w:rFonts w:eastAsia="+mn-ea"/>
          <w:color w:val="000000" w:themeColor="text1"/>
        </w:rPr>
        <w:t xml:space="preserve">piedalās EK/OLAF organizētajās sanāksmēs un darba grupu </w:t>
      </w:r>
      <w:r w:rsidR="00A04222" w:rsidRPr="004C5006">
        <w:rPr>
          <w:rFonts w:eastAsia="+mn-ea"/>
          <w:color w:val="000000" w:themeColor="text1"/>
        </w:rPr>
        <w:t>sanāksm</w:t>
      </w:r>
      <w:r w:rsidR="00A04222">
        <w:rPr>
          <w:rFonts w:eastAsia="+mn-ea"/>
          <w:color w:val="000000" w:themeColor="text1"/>
        </w:rPr>
        <w:t>ē</w:t>
      </w:r>
      <w:r w:rsidR="00A04222" w:rsidRPr="004C5006">
        <w:rPr>
          <w:rFonts w:eastAsia="+mn-ea"/>
          <w:color w:val="000000" w:themeColor="text1"/>
        </w:rPr>
        <w:t>s</w:t>
      </w:r>
      <w:r w:rsidR="00D50DDB">
        <w:rPr>
          <w:rFonts w:eastAsia="+mn-ea"/>
          <w:color w:val="000000" w:themeColor="text1"/>
        </w:rPr>
        <w:t>;</w:t>
      </w:r>
    </w:p>
    <w:p w14:paraId="6CC62EB4" w14:textId="36281255" w:rsidR="004C5006" w:rsidRPr="004C5006" w:rsidRDefault="004C5006" w:rsidP="00D50DDB">
      <w:pPr>
        <w:pStyle w:val="ListParagraph"/>
        <w:numPr>
          <w:ilvl w:val="0"/>
          <w:numId w:val="1"/>
        </w:numPr>
        <w:tabs>
          <w:tab w:val="clear" w:pos="720"/>
        </w:tabs>
        <w:ind w:left="709" w:hanging="426"/>
        <w:jc w:val="both"/>
        <w:rPr>
          <w:color w:val="000000" w:themeColor="text1"/>
        </w:rPr>
      </w:pPr>
      <w:r w:rsidRPr="004C5006">
        <w:rPr>
          <w:rFonts w:eastAsia="+mn-ea"/>
          <w:color w:val="000000" w:themeColor="text1"/>
        </w:rPr>
        <w:t>nodrošina metodoloģisko atbalstu un skaidrojumu sniegšanu</w:t>
      </w:r>
      <w:r w:rsidR="00D50DDB">
        <w:rPr>
          <w:rFonts w:eastAsia="+mn-ea"/>
          <w:color w:val="000000" w:themeColor="text1"/>
        </w:rPr>
        <w:t>.</w:t>
      </w:r>
    </w:p>
    <w:p w14:paraId="09FAA51B" w14:textId="77777777" w:rsidR="004C5006" w:rsidRPr="004C5006" w:rsidRDefault="004C5006" w:rsidP="00D50D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EF0A65" w14:textId="34C564EF" w:rsidR="004C5006" w:rsidRPr="004C5006" w:rsidRDefault="004C5006" w:rsidP="00D50DDB">
      <w:pPr>
        <w:spacing w:after="0" w:line="276" w:lineRule="auto"/>
        <w:ind w:right="-8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5006">
        <w:rPr>
          <w:rFonts w:ascii="Times New Roman" w:hAnsi="Times New Roman" w:cs="Times New Roman"/>
          <w:b/>
          <w:sz w:val="24"/>
          <w:szCs w:val="24"/>
          <w:u w:val="single"/>
        </w:rPr>
        <w:t>AI, HP AI:</w:t>
      </w:r>
    </w:p>
    <w:p w14:paraId="64326110" w14:textId="4DE51A07" w:rsidR="004C5006" w:rsidRPr="004C5006" w:rsidRDefault="004C5006" w:rsidP="00794A5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konstatē iespējamo neatbilstību un informē par to SI</w:t>
      </w:r>
      <w:r w:rsidR="00D50DDB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;</w:t>
      </w:r>
      <w:r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14:paraId="7BC289B0" w14:textId="15173D8A" w:rsidR="004C5006" w:rsidRPr="004C5006" w:rsidRDefault="004C5006" w:rsidP="00794A5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piedalās ceturkšņa neatbilstību sanāksmē (</w:t>
      </w:r>
      <w:r w:rsidRPr="004C5006">
        <w:rPr>
          <w:rFonts w:ascii="Times New Roman" w:eastAsia="+mn-ea" w:hAnsi="Times New Roman" w:cs="Times New Roman"/>
          <w:i/>
          <w:color w:val="000000"/>
          <w:sz w:val="24"/>
          <w:szCs w:val="24"/>
          <w:lang w:eastAsia="lv-LV"/>
        </w:rPr>
        <w:t>tikai AI</w:t>
      </w:r>
      <w:r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)</w:t>
      </w:r>
      <w:r w:rsidR="00D50DDB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.</w:t>
      </w:r>
    </w:p>
    <w:p w14:paraId="5AD873C8" w14:textId="77777777" w:rsidR="004C5006" w:rsidRPr="004C5006" w:rsidRDefault="004C5006" w:rsidP="00794A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3CFE99" w14:textId="77777777" w:rsidR="004C5006" w:rsidRPr="00D50DDB" w:rsidRDefault="004C5006" w:rsidP="00D50DDB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DDB">
        <w:rPr>
          <w:rFonts w:ascii="Times New Roman" w:hAnsi="Times New Roman" w:cs="Times New Roman"/>
          <w:b/>
          <w:sz w:val="24"/>
          <w:szCs w:val="24"/>
          <w:u w:val="single"/>
        </w:rPr>
        <w:t>SI:</w:t>
      </w:r>
    </w:p>
    <w:p w14:paraId="75922EE7" w14:textId="4E0DFEA3" w:rsidR="004C5006" w:rsidRPr="004C5006" w:rsidRDefault="004C5006" w:rsidP="00794A51">
      <w:pPr>
        <w:numPr>
          <w:ilvl w:val="0"/>
          <w:numId w:val="2"/>
        </w:numPr>
        <w:tabs>
          <w:tab w:val="clear" w:pos="15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konstatē iespējamo neatbilstību</w:t>
      </w:r>
      <w:r w:rsidR="00D50DDB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;</w:t>
      </w:r>
    </w:p>
    <w:p w14:paraId="041E4E21" w14:textId="0D46D9AE" w:rsidR="004C5006" w:rsidRPr="004C5006" w:rsidRDefault="004C5006" w:rsidP="00794A51">
      <w:pPr>
        <w:numPr>
          <w:ilvl w:val="0"/>
          <w:numId w:val="2"/>
        </w:numPr>
        <w:tabs>
          <w:tab w:val="clear" w:pos="15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izvērtē saņemto informāciju par iespējamo neatbilstību</w:t>
      </w:r>
      <w:r w:rsidR="00D50DDB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;</w:t>
      </w:r>
    </w:p>
    <w:p w14:paraId="19A8055B" w14:textId="23412E62" w:rsidR="004C5006" w:rsidRPr="004C5006" w:rsidRDefault="004C5006" w:rsidP="00794A51">
      <w:pPr>
        <w:numPr>
          <w:ilvl w:val="0"/>
          <w:numId w:val="2"/>
        </w:numPr>
        <w:tabs>
          <w:tab w:val="clear" w:pos="15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pieņem lēmumu par neatbilstību un nodrošina neatbilstoši veikto izdevumu atgūšanu</w:t>
      </w:r>
      <w:r w:rsidR="00D50DDB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;</w:t>
      </w:r>
    </w:p>
    <w:p w14:paraId="5DE244D4" w14:textId="01AE03E9" w:rsidR="004C5006" w:rsidRPr="004C5006" w:rsidRDefault="004C5006" w:rsidP="00794A51">
      <w:pPr>
        <w:numPr>
          <w:ilvl w:val="0"/>
          <w:numId w:val="2"/>
        </w:numPr>
        <w:tabs>
          <w:tab w:val="clear" w:pos="15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 xml:space="preserve">sadarbojas ar </w:t>
      </w:r>
      <w:proofErr w:type="spellStart"/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tiesībsargājošajām</w:t>
      </w:r>
      <w:proofErr w:type="spellEnd"/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 xml:space="preserve"> iestādēm un informē par iespējamiem krāpšanas gadījumiem un nodrošina pēcpārbaudi par krāpnieciskā veidā izlietotiem līdzekļiem un to atgūšanu</w:t>
      </w:r>
      <w:r w:rsidR="00D50DDB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;</w:t>
      </w:r>
    </w:p>
    <w:p w14:paraId="4C7771E0" w14:textId="307DE466" w:rsidR="004C5006" w:rsidRPr="004C5006" w:rsidRDefault="004C5006" w:rsidP="00794A51">
      <w:pPr>
        <w:numPr>
          <w:ilvl w:val="0"/>
          <w:numId w:val="2"/>
        </w:numPr>
        <w:tabs>
          <w:tab w:val="clear" w:pos="15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ievada datus KPVIS un ziņo EK/OLAF</w:t>
      </w:r>
      <w:r w:rsidR="00D50DDB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;</w:t>
      </w:r>
    </w:p>
    <w:p w14:paraId="1D5877B1" w14:textId="5BC66D00" w:rsidR="004C5006" w:rsidRPr="004C5006" w:rsidRDefault="004C5006" w:rsidP="00794A51">
      <w:pPr>
        <w:numPr>
          <w:ilvl w:val="0"/>
          <w:numId w:val="2"/>
        </w:numPr>
        <w:tabs>
          <w:tab w:val="clear" w:pos="15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informē SEI par ieturētajām summām</w:t>
      </w:r>
      <w:r w:rsidR="00D50DDB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;</w:t>
      </w:r>
    </w:p>
    <w:p w14:paraId="65F4888E" w14:textId="6C81FE7B" w:rsidR="004C5006" w:rsidRPr="004C5006" w:rsidRDefault="004C5006" w:rsidP="00794A51">
      <w:pPr>
        <w:numPr>
          <w:ilvl w:val="0"/>
          <w:numId w:val="2"/>
        </w:numPr>
        <w:tabs>
          <w:tab w:val="clear" w:pos="15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veic neatbilstību analīzi un sniedz priekšlikumus risinājumiem VKS uzlabošanai</w:t>
      </w:r>
      <w:r w:rsidR="00D50DDB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;</w:t>
      </w:r>
    </w:p>
    <w:p w14:paraId="7127A5D2" w14:textId="55039486" w:rsidR="004C5006" w:rsidRPr="004C5006" w:rsidRDefault="004C5006" w:rsidP="00794A51">
      <w:pPr>
        <w:numPr>
          <w:ilvl w:val="0"/>
          <w:numId w:val="2"/>
        </w:numPr>
        <w:tabs>
          <w:tab w:val="clear" w:pos="159"/>
        </w:tabs>
        <w:spacing w:after="0" w:line="240" w:lineRule="auto"/>
        <w:ind w:left="709" w:hanging="425"/>
        <w:contextualSpacing/>
        <w:jc w:val="both"/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piedalās ceturkšņa neatbilstību sanāksmē</w:t>
      </w:r>
      <w:r w:rsidR="00D50DDB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;</w:t>
      </w:r>
    </w:p>
    <w:p w14:paraId="19115B42" w14:textId="04DCA1FD" w:rsidR="004C5006" w:rsidRPr="004C5006" w:rsidRDefault="004C5006" w:rsidP="00794A51">
      <w:pPr>
        <w:numPr>
          <w:ilvl w:val="0"/>
          <w:numId w:val="2"/>
        </w:numPr>
        <w:tabs>
          <w:tab w:val="clear" w:pos="15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piedalās AFCOS padomes sēdēs</w:t>
      </w:r>
      <w:r w:rsidR="00D50DDB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;</w:t>
      </w:r>
    </w:p>
    <w:p w14:paraId="49E6B118" w14:textId="69DC89AC" w:rsidR="004C5006" w:rsidRPr="004C5006" w:rsidRDefault="004C5006" w:rsidP="00794A51">
      <w:pPr>
        <w:numPr>
          <w:ilvl w:val="0"/>
          <w:numId w:val="2"/>
        </w:numPr>
        <w:tabs>
          <w:tab w:val="clear" w:pos="15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 xml:space="preserve">nodrošina </w:t>
      </w:r>
      <w:proofErr w:type="spellStart"/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problēmgadījumu</w:t>
      </w:r>
      <w:proofErr w:type="spellEnd"/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 xml:space="preserve"> izska</w:t>
      </w:r>
      <w:r w:rsidR="00E31C61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tīšanu, pieaicinot VI, IUB, SEI</w:t>
      </w:r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, AI (ja nepieciešams), ja ir neskaidrības par finanšu korekcijas piemērošanu</w:t>
      </w:r>
      <w:r w:rsidR="00D50DDB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.</w:t>
      </w:r>
    </w:p>
    <w:p w14:paraId="79DACEDD" w14:textId="77777777" w:rsidR="00D50DDB" w:rsidRDefault="00D50DDB" w:rsidP="00794A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4B22DE" w14:textId="68690E6F" w:rsidR="004C5006" w:rsidRPr="00D50DDB" w:rsidRDefault="004C5006" w:rsidP="00D50D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DDB">
        <w:rPr>
          <w:rFonts w:ascii="Times New Roman" w:hAnsi="Times New Roman" w:cs="Times New Roman"/>
          <w:b/>
          <w:sz w:val="24"/>
          <w:szCs w:val="24"/>
          <w:u w:val="single"/>
        </w:rPr>
        <w:t>Pašvaldības (ITI)</w:t>
      </w:r>
      <w:r w:rsidR="00D50DD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E85927E" w14:textId="15230A17" w:rsidR="004C5006" w:rsidRPr="004C5006" w:rsidRDefault="004C5006" w:rsidP="00D50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709" w:hanging="425"/>
        <w:contextualSpacing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konstatē iespējamo neatbilstību un informē par to VI</w:t>
      </w:r>
      <w:r w:rsidR="00D50DDB"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  <w:t>.</w:t>
      </w:r>
    </w:p>
    <w:p w14:paraId="2D14D47E" w14:textId="56CE669F" w:rsidR="004C5006" w:rsidRPr="004C5006" w:rsidRDefault="004C5006" w:rsidP="00D50DDB">
      <w:pPr>
        <w:spacing w:after="0" w:line="240" w:lineRule="auto"/>
        <w:contextualSpacing/>
        <w:rPr>
          <w:rFonts w:ascii="Times New Roman" w:eastAsia="+mn-ea" w:hAnsi="Times New Roman" w:cs="Times New Roman"/>
          <w:color w:val="000000" w:themeColor="text1"/>
          <w:sz w:val="24"/>
          <w:szCs w:val="24"/>
          <w:lang w:eastAsia="lv-LV"/>
        </w:rPr>
      </w:pPr>
    </w:p>
    <w:p w14:paraId="4743B621" w14:textId="2495527E" w:rsidR="004C5006" w:rsidRPr="00205B9F" w:rsidRDefault="004C5006" w:rsidP="00205B9F">
      <w:pPr>
        <w:spacing w:after="0" w:line="276" w:lineRule="auto"/>
        <w:contextualSpacing/>
        <w:rPr>
          <w:rFonts w:ascii="Times New Roman" w:eastAsia="+mn-ea" w:hAnsi="Times New Roman" w:cs="Times New Roman"/>
          <w:b/>
          <w:color w:val="000000" w:themeColor="text1"/>
          <w:sz w:val="24"/>
          <w:szCs w:val="24"/>
          <w:u w:val="single"/>
          <w:lang w:eastAsia="lv-LV"/>
        </w:rPr>
      </w:pPr>
      <w:r w:rsidRPr="00205B9F">
        <w:rPr>
          <w:rFonts w:ascii="Times New Roman" w:eastAsia="+mn-ea" w:hAnsi="Times New Roman" w:cs="Times New Roman"/>
          <w:b/>
          <w:color w:val="000000" w:themeColor="text1"/>
          <w:sz w:val="24"/>
          <w:szCs w:val="24"/>
          <w:u w:val="single"/>
          <w:lang w:eastAsia="lv-LV"/>
        </w:rPr>
        <w:t>SEI:</w:t>
      </w:r>
    </w:p>
    <w:p w14:paraId="3B6C81AD" w14:textId="76AFB4B1" w:rsidR="004C5006" w:rsidRPr="004C5006" w:rsidRDefault="004C5006" w:rsidP="00794A51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konstatē iespējamo neatbilstību un informē par to SI</w:t>
      </w:r>
      <w:r w:rsidR="00794A51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;</w:t>
      </w:r>
    </w:p>
    <w:p w14:paraId="4CB79633" w14:textId="37604830" w:rsidR="004C5006" w:rsidRPr="004C5006" w:rsidRDefault="004C5006" w:rsidP="00794A51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informē EK par atgūtajām summām</w:t>
      </w:r>
      <w:r w:rsidR="00794A51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;</w:t>
      </w:r>
    </w:p>
    <w:p w14:paraId="3A09FFE4" w14:textId="29D0FFC9" w:rsidR="004C5006" w:rsidRPr="00794A51" w:rsidRDefault="004C5006" w:rsidP="00794A51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 xml:space="preserve">piedalās AFCOS darba </w:t>
      </w:r>
      <w:r w:rsidR="00A30B5F"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grup</w:t>
      </w:r>
      <w:r w:rsidR="00A30B5F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as sēdēs</w:t>
      </w:r>
      <w:r w:rsidR="00794A51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;</w:t>
      </w:r>
    </w:p>
    <w:p w14:paraId="2CAA8DBE" w14:textId="36B780ED" w:rsidR="004C5006" w:rsidRPr="004C5006" w:rsidRDefault="004C5006" w:rsidP="00A30B5F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lastRenderedPageBreak/>
        <w:t>piedalās ceturkšņa neatbilstību sanāksmē</w:t>
      </w:r>
      <w:r w:rsidR="00A30B5F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s</w:t>
      </w:r>
      <w:r w:rsidR="00794A51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;</w:t>
      </w:r>
    </w:p>
    <w:p w14:paraId="0F8A6EFD" w14:textId="520C37E9" w:rsidR="004C5006" w:rsidRPr="00794A51" w:rsidRDefault="004C5006" w:rsidP="00A30B5F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informāciju par konstatētajām neatbilstībām ņemt vērā pie maksājumu pieteikumu un kontu slēgumu sagatavošanas</w:t>
      </w:r>
      <w:r w:rsidR="00794A51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.</w:t>
      </w:r>
    </w:p>
    <w:p w14:paraId="7846B9CF" w14:textId="77777777" w:rsidR="004C5006" w:rsidRPr="00794A51" w:rsidRDefault="004C5006" w:rsidP="00794A5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4A51">
        <w:rPr>
          <w:rFonts w:ascii="Times New Roman" w:hAnsi="Times New Roman" w:cs="Times New Roman"/>
          <w:b/>
          <w:sz w:val="24"/>
          <w:szCs w:val="24"/>
          <w:u w:val="single"/>
        </w:rPr>
        <w:t>RI:</w:t>
      </w:r>
    </w:p>
    <w:p w14:paraId="7A1CC811" w14:textId="70CC402E" w:rsidR="004C5006" w:rsidRPr="004C5006" w:rsidRDefault="004C5006" w:rsidP="00CB244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konstatē iespējamo neatbilstību un informē par to SI</w:t>
      </w:r>
      <w:r w:rsidR="00794A51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;</w:t>
      </w:r>
    </w:p>
    <w:p w14:paraId="3D342624" w14:textId="151C973A" w:rsidR="004C5006" w:rsidRPr="004C5006" w:rsidRDefault="004C5006" w:rsidP="00CB2442">
      <w:pPr>
        <w:numPr>
          <w:ilvl w:val="0"/>
          <w:numId w:val="1"/>
        </w:numPr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nepieciešamības gadījumā ziņo EK/OLAF</w:t>
      </w:r>
      <w:r w:rsidR="00F43BD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 xml:space="preserve"> par </w:t>
      </w:r>
      <w:r w:rsidR="00F43BD6" w:rsidRPr="00F43BD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revīzijas iestādes konstatētajām neatbilstībām</w:t>
      </w:r>
      <w:r w:rsidR="00794A51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;</w:t>
      </w:r>
    </w:p>
    <w:p w14:paraId="14A8178F" w14:textId="1C7370AC" w:rsidR="004C5006" w:rsidRPr="004C5006" w:rsidRDefault="004C5006" w:rsidP="00CB244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pilda AFCOS funkcijas un nodrošina AFCOS padomes darbu</w:t>
      </w:r>
      <w:r w:rsidR="00794A51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;</w:t>
      </w:r>
    </w:p>
    <w:p w14:paraId="0F9C92AF" w14:textId="0B0D5D3F" w:rsidR="004C5006" w:rsidRPr="004C5006" w:rsidRDefault="004C5006" w:rsidP="00CB244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C500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piedalās ceturkšņa neatbilstību sanāksmē</w:t>
      </w:r>
      <w:r w:rsidR="00F43BD6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s</w:t>
      </w:r>
      <w:r w:rsidR="00794A51">
        <w:rPr>
          <w:rFonts w:ascii="Times New Roman" w:eastAsia="+mn-ea" w:hAnsi="Times New Roman" w:cs="Times New Roman"/>
          <w:color w:val="000000"/>
          <w:sz w:val="24"/>
          <w:szCs w:val="24"/>
          <w:lang w:eastAsia="lv-LV"/>
        </w:rPr>
        <w:t>.</w:t>
      </w:r>
    </w:p>
    <w:p w14:paraId="04B3ECDD" w14:textId="77777777" w:rsidR="004C5006" w:rsidRPr="004C5006" w:rsidRDefault="004C5006" w:rsidP="004C5006">
      <w:pPr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4E2CEF0" w14:textId="0DB2F9D3" w:rsidR="007E4EA5" w:rsidRDefault="007E4EA5" w:rsidP="00A04222"/>
    <w:sectPr w:rsidR="007E4EA5" w:rsidSect="002047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79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8FC90" w14:textId="77777777" w:rsidR="00C23909" w:rsidRDefault="00C23909" w:rsidP="00C23909">
      <w:pPr>
        <w:spacing w:after="0" w:line="240" w:lineRule="auto"/>
      </w:pPr>
      <w:r>
        <w:separator/>
      </w:r>
    </w:p>
  </w:endnote>
  <w:endnote w:type="continuationSeparator" w:id="0">
    <w:p w14:paraId="326F8104" w14:textId="77777777" w:rsidR="00C23909" w:rsidRDefault="00C23909" w:rsidP="00C2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E4104" w14:textId="77777777" w:rsidR="007A6713" w:rsidRDefault="007A67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0D8E6" w14:textId="77777777" w:rsidR="007A6713" w:rsidRDefault="007A67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65CDB" w14:textId="77777777" w:rsidR="007A6713" w:rsidRDefault="007A67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8A4CB" w14:textId="77777777" w:rsidR="00C23909" w:rsidRDefault="00C23909" w:rsidP="00C23909">
      <w:pPr>
        <w:spacing w:after="0" w:line="240" w:lineRule="auto"/>
      </w:pPr>
      <w:r>
        <w:separator/>
      </w:r>
    </w:p>
  </w:footnote>
  <w:footnote w:type="continuationSeparator" w:id="0">
    <w:p w14:paraId="4337964D" w14:textId="77777777" w:rsidR="00C23909" w:rsidRDefault="00C23909" w:rsidP="00C2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6384A" w14:textId="77777777" w:rsidR="007A6713" w:rsidRDefault="007A67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B7BEF" w14:textId="77777777" w:rsidR="007A6713" w:rsidRDefault="007A67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3398"/>
      <w:gridCol w:w="1134"/>
      <w:gridCol w:w="1513"/>
      <w:gridCol w:w="1052"/>
    </w:tblGrid>
    <w:tr w:rsidR="002047BD" w14:paraId="60E035D0" w14:textId="77777777" w:rsidTr="002047BD">
      <w:trPr>
        <w:trHeight w:val="889"/>
        <w:jc w:val="center"/>
      </w:trPr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595B2F2" w14:textId="77777777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ind w:right="360"/>
            <w:jc w:val="both"/>
            <w:rPr>
              <w:rFonts w:ascii="Times New Roman" w:eastAsia="Calibri" w:hAnsi="Times New Roman" w:cs="Times New Roman"/>
              <w:sz w:val="18"/>
            </w:rPr>
          </w:pPr>
          <w:r>
            <w:rPr>
              <w:rFonts w:ascii="Times New Roman" w:eastAsia="Calibri" w:hAnsi="Times New Roman" w:cs="Times New Roman"/>
              <w:sz w:val="18"/>
            </w:rPr>
            <w:t>Iestāde:</w:t>
          </w:r>
          <w:r>
            <w:rPr>
              <w:rFonts w:ascii="Times New Roman" w:eastAsia="Calibri" w:hAnsi="Times New Roman" w:cs="Times New Roman"/>
              <w:b/>
              <w:bCs/>
              <w:sz w:val="18"/>
            </w:rPr>
            <w:t xml:space="preserve"> Finanšu ministrija</w:t>
          </w:r>
        </w:p>
        <w:p w14:paraId="4AFECBA6" w14:textId="77777777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z w:val="18"/>
            </w:rPr>
          </w:pPr>
          <w:r>
            <w:rPr>
              <w:rFonts w:ascii="Times New Roman" w:eastAsia="Calibri" w:hAnsi="Times New Roman" w:cs="Times New Roman"/>
              <w:sz w:val="18"/>
            </w:rPr>
            <w:t>Struktūrvienība:</w:t>
          </w:r>
          <w:r>
            <w:rPr>
              <w:rFonts w:ascii="Times New Roman" w:eastAsia="Calibri" w:hAnsi="Times New Roman" w:cs="Times New Roman"/>
              <w:b/>
              <w:bCs/>
              <w:sz w:val="18"/>
            </w:rPr>
            <w:t xml:space="preserve"> </w:t>
          </w:r>
        </w:p>
        <w:p w14:paraId="2BD78210" w14:textId="77777777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z w:val="18"/>
            </w:rPr>
          </w:pPr>
          <w:r>
            <w:rPr>
              <w:rFonts w:ascii="Times New Roman" w:eastAsia="Calibri" w:hAnsi="Times New Roman" w:cs="Times New Roman"/>
              <w:b/>
              <w:bCs/>
              <w:sz w:val="18"/>
            </w:rPr>
            <w:t>Eiropas Savienības fondu vadības un kontroles departaments</w:t>
          </w:r>
        </w:p>
      </w:tc>
      <w:tc>
        <w:tcPr>
          <w:tcW w:w="33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5A562BA" w14:textId="77777777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Calibri" w:hAnsi="Times New Roman" w:cs="Times New Roman"/>
              <w:sz w:val="18"/>
            </w:rPr>
          </w:pPr>
        </w:p>
      </w:tc>
      <w:tc>
        <w:tcPr>
          <w:tcW w:w="369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4C934EA" w14:textId="77777777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Calibri" w:hAnsi="Times New Roman" w:cs="Times New Roman"/>
              <w:sz w:val="18"/>
            </w:rPr>
          </w:pPr>
          <w:r>
            <w:rPr>
              <w:rFonts w:ascii="Times New Roman" w:eastAsia="Calibri" w:hAnsi="Times New Roman" w:cs="Times New Roman"/>
              <w:sz w:val="18"/>
            </w:rPr>
            <w:t>Dokumenta nosaukums:</w:t>
          </w:r>
        </w:p>
        <w:p w14:paraId="25FFC974" w14:textId="77777777" w:rsidR="002047BD" w:rsidRDefault="002047BD" w:rsidP="002047BD">
          <w:pPr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sz w:val="18"/>
              <w:szCs w:val="20"/>
            </w:rPr>
          </w:pPr>
          <w:r>
            <w:rPr>
              <w:rFonts w:ascii="Times New Roman" w:eastAsia="Calibri" w:hAnsi="Times New Roman" w:cs="Times New Roman"/>
              <w:b/>
              <w:sz w:val="18"/>
              <w:szCs w:val="20"/>
            </w:rPr>
            <w:t>Vadlīnijas par finanšu korekciju piemērošanu, ziņošanu par Eiropas Savienības fondu ieviešanā konstatētajām neatbilstībām, neatbilstoši veikto izdevumu atgūšanu 2014.-2020.gada plānošanas periodā</w:t>
          </w:r>
        </w:p>
      </w:tc>
    </w:tr>
    <w:tr w:rsidR="002047BD" w14:paraId="11F95D45" w14:textId="77777777" w:rsidTr="002047BD">
      <w:trPr>
        <w:trHeight w:val="876"/>
        <w:jc w:val="center"/>
      </w:trPr>
      <w:tc>
        <w:tcPr>
          <w:tcW w:w="2551" w:type="dxa"/>
          <w:tcBorders>
            <w:top w:val="single" w:sz="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hideMark/>
        </w:tcPr>
        <w:p w14:paraId="147D6221" w14:textId="77777777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Calibri" w:hAnsi="Times New Roman" w:cs="Times New Roman"/>
              <w:b/>
              <w:bCs/>
              <w:sz w:val="18"/>
            </w:rPr>
          </w:pPr>
          <w:r>
            <w:rPr>
              <w:rFonts w:ascii="Times New Roman" w:eastAsia="Calibri" w:hAnsi="Times New Roman" w:cs="Times New Roman"/>
              <w:sz w:val="18"/>
            </w:rPr>
            <w:t>Sagatavoja:</w:t>
          </w:r>
          <w:r>
            <w:rPr>
              <w:rFonts w:ascii="Times New Roman" w:eastAsia="Calibri" w:hAnsi="Times New Roman" w:cs="Times New Roman"/>
              <w:b/>
              <w:bCs/>
              <w:sz w:val="18"/>
            </w:rPr>
            <w:t xml:space="preserve"> </w:t>
          </w:r>
        </w:p>
        <w:p w14:paraId="292A3F3E" w14:textId="77777777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sz w:val="18"/>
            </w:rPr>
          </w:pPr>
          <w:r>
            <w:rPr>
              <w:rFonts w:ascii="Times New Roman" w:eastAsia="Calibri" w:hAnsi="Times New Roman" w:cs="Times New Roman"/>
              <w:b/>
              <w:bCs/>
              <w:sz w:val="18"/>
            </w:rPr>
            <w:t>Eiropas Savienības fondu ieviešanas vadības nodaļa</w:t>
          </w:r>
        </w:p>
      </w:tc>
      <w:tc>
        <w:tcPr>
          <w:tcW w:w="3398" w:type="dxa"/>
          <w:tcBorders>
            <w:top w:val="single" w:sz="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hideMark/>
        </w:tcPr>
        <w:p w14:paraId="54C8EA4A" w14:textId="77777777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Calibri" w:hAnsi="Times New Roman" w:cs="Times New Roman"/>
              <w:b/>
              <w:bCs/>
              <w:sz w:val="18"/>
            </w:rPr>
          </w:pPr>
          <w:r>
            <w:rPr>
              <w:rFonts w:ascii="Times New Roman" w:eastAsia="Calibri" w:hAnsi="Times New Roman" w:cs="Times New Roman"/>
              <w:sz w:val="18"/>
            </w:rPr>
            <w:t xml:space="preserve">Apstiprināts: </w:t>
          </w:r>
          <w:r>
            <w:rPr>
              <w:rFonts w:ascii="Times New Roman" w:eastAsia="Calibri" w:hAnsi="Times New Roman" w:cs="Times New Roman"/>
              <w:b/>
              <w:bCs/>
              <w:sz w:val="18"/>
            </w:rPr>
            <w:t xml:space="preserve"> </w:t>
          </w:r>
        </w:p>
        <w:p w14:paraId="3AD0FEA3" w14:textId="77777777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z w:val="18"/>
              <w:szCs w:val="18"/>
            </w:rPr>
          </w:pPr>
          <w:r>
            <w:rPr>
              <w:rFonts w:ascii="Times New Roman" w:eastAsia="Calibri" w:hAnsi="Times New Roman" w:cs="Times New Roman"/>
              <w:b/>
              <w:bCs/>
              <w:sz w:val="18"/>
              <w:szCs w:val="18"/>
            </w:rPr>
            <w:t xml:space="preserve">Vadošās iestādes vadītāja vietā – Eiropas Savienības fondu uzraudzības departamenta direktore </w:t>
          </w:r>
          <w:proofErr w:type="spellStart"/>
          <w:r>
            <w:rPr>
              <w:rFonts w:ascii="Times New Roman" w:eastAsia="Calibri" w:hAnsi="Times New Roman" w:cs="Times New Roman"/>
              <w:b/>
              <w:bCs/>
              <w:sz w:val="18"/>
              <w:szCs w:val="18"/>
            </w:rPr>
            <w:t>D.Rancāne</w:t>
          </w:r>
          <w:proofErr w:type="spellEnd"/>
        </w:p>
      </w:tc>
      <w:tc>
        <w:tcPr>
          <w:tcW w:w="1134" w:type="dxa"/>
          <w:tcBorders>
            <w:top w:val="single" w:sz="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hideMark/>
        </w:tcPr>
        <w:p w14:paraId="7EC58050" w14:textId="77777777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sz w:val="18"/>
            </w:rPr>
          </w:pPr>
          <w:r>
            <w:rPr>
              <w:rFonts w:ascii="Times New Roman" w:eastAsia="Calibri" w:hAnsi="Times New Roman" w:cs="Times New Roman"/>
              <w:sz w:val="18"/>
            </w:rPr>
            <w:t>Variants:</w:t>
          </w:r>
        </w:p>
        <w:p w14:paraId="79D879BD" w14:textId="4A3CBB6F" w:rsidR="002047BD" w:rsidRDefault="00AD409B" w:rsidP="002047BD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sz w:val="18"/>
            </w:rPr>
          </w:pPr>
          <w:r>
            <w:rPr>
              <w:rFonts w:ascii="Times New Roman" w:eastAsia="Calibri" w:hAnsi="Times New Roman" w:cs="Times New Roman"/>
              <w:sz w:val="18"/>
            </w:rPr>
            <w:t>4</w:t>
          </w:r>
          <w:bookmarkStart w:id="0" w:name="_GoBack"/>
          <w:bookmarkEnd w:id="0"/>
        </w:p>
      </w:tc>
      <w:tc>
        <w:tcPr>
          <w:tcW w:w="1513" w:type="dxa"/>
          <w:tcBorders>
            <w:top w:val="single" w:sz="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</w:tcPr>
        <w:p w14:paraId="00C35175" w14:textId="77777777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sz w:val="18"/>
            </w:rPr>
          </w:pPr>
          <w:r>
            <w:rPr>
              <w:rFonts w:ascii="Times New Roman" w:eastAsia="Calibri" w:hAnsi="Times New Roman" w:cs="Times New Roman"/>
              <w:sz w:val="18"/>
            </w:rPr>
            <w:t>Datums:</w:t>
          </w:r>
        </w:p>
        <w:p w14:paraId="6018AA7A" w14:textId="3964C745" w:rsidR="002047BD" w:rsidRDefault="007A6713" w:rsidP="002047BD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sz w:val="18"/>
            </w:rPr>
          </w:pPr>
          <w:r>
            <w:rPr>
              <w:rFonts w:ascii="Times New Roman" w:hAnsi="Times New Roman"/>
              <w:sz w:val="18"/>
              <w:szCs w:val="18"/>
            </w:rPr>
            <w:t>22.08.2017.</w:t>
          </w:r>
        </w:p>
      </w:tc>
      <w:tc>
        <w:tcPr>
          <w:tcW w:w="1052" w:type="dxa"/>
          <w:tcBorders>
            <w:top w:val="single" w:sz="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</w:tcPr>
        <w:p w14:paraId="2D50F446" w14:textId="77777777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sz w:val="18"/>
            </w:rPr>
          </w:pPr>
          <w:r>
            <w:rPr>
              <w:rFonts w:ascii="Times New Roman" w:eastAsia="Calibri" w:hAnsi="Times New Roman" w:cs="Times New Roman"/>
              <w:sz w:val="18"/>
            </w:rPr>
            <w:t>Lappuses:</w:t>
          </w:r>
        </w:p>
        <w:p w14:paraId="15B7DA3A" w14:textId="4095A3FF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18"/>
            </w:rPr>
          </w:pPr>
          <w:r>
            <w:rPr>
              <w:rFonts w:ascii="Times New Roman" w:eastAsia="Calibri" w:hAnsi="Times New Roman" w:cs="Times New Roman"/>
              <w:b/>
              <w:sz w:val="18"/>
            </w:rPr>
            <w:fldChar w:fldCharType="begin"/>
          </w:r>
          <w:r>
            <w:rPr>
              <w:rFonts w:ascii="Times New Roman" w:eastAsia="Calibri" w:hAnsi="Times New Roman" w:cs="Times New Roman"/>
              <w:b/>
              <w:sz w:val="18"/>
            </w:rPr>
            <w:instrText xml:space="preserve"> PAGE   \* MERGEFORMAT </w:instrText>
          </w:r>
          <w:r>
            <w:rPr>
              <w:rFonts w:ascii="Times New Roman" w:eastAsia="Calibri" w:hAnsi="Times New Roman" w:cs="Times New Roman"/>
              <w:b/>
              <w:sz w:val="18"/>
            </w:rPr>
            <w:fldChar w:fldCharType="separate"/>
          </w:r>
          <w:r w:rsidR="00AD409B">
            <w:rPr>
              <w:rFonts w:ascii="Times New Roman" w:eastAsia="Calibri" w:hAnsi="Times New Roman" w:cs="Times New Roman"/>
              <w:b/>
              <w:noProof/>
              <w:sz w:val="18"/>
            </w:rPr>
            <w:t>1</w:t>
          </w:r>
          <w:r>
            <w:rPr>
              <w:rFonts w:ascii="Times New Roman" w:eastAsia="Calibri" w:hAnsi="Times New Roman" w:cs="Times New Roman"/>
              <w:b/>
              <w:sz w:val="18"/>
            </w:rPr>
            <w:fldChar w:fldCharType="end"/>
          </w:r>
          <w:r>
            <w:rPr>
              <w:rFonts w:ascii="Times New Roman" w:eastAsia="Calibri" w:hAnsi="Times New Roman" w:cs="Times New Roman"/>
              <w:b/>
              <w:sz w:val="18"/>
            </w:rPr>
            <w:t xml:space="preserve"> no </w:t>
          </w:r>
          <w:r w:rsidR="00AD409B">
            <w:rPr>
              <w:rFonts w:ascii="Times New Roman" w:eastAsia="Calibri" w:hAnsi="Times New Roman" w:cs="Times New Roman"/>
              <w:b/>
              <w:sz w:val="18"/>
            </w:rPr>
            <w:t>2</w:t>
          </w:r>
        </w:p>
        <w:p w14:paraId="493BB0C5" w14:textId="77777777" w:rsidR="002047BD" w:rsidRDefault="002047BD" w:rsidP="002047BD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18"/>
            </w:rPr>
          </w:pPr>
        </w:p>
      </w:tc>
    </w:tr>
  </w:tbl>
  <w:p w14:paraId="3444A24C" w14:textId="77777777" w:rsidR="002047BD" w:rsidRDefault="002047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64305"/>
    <w:multiLevelType w:val="hybridMultilevel"/>
    <w:tmpl w:val="C2805EB4"/>
    <w:lvl w:ilvl="0" w:tplc="74C8B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F04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9801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9885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0E8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DC2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CE47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AAC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10AC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12B55BA"/>
    <w:multiLevelType w:val="hybridMultilevel"/>
    <w:tmpl w:val="F5485716"/>
    <w:lvl w:ilvl="0" w:tplc="777C2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E47F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145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807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DE9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AE5A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B02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6A0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C04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5C1BD5"/>
    <w:multiLevelType w:val="hybridMultilevel"/>
    <w:tmpl w:val="DC48618A"/>
    <w:lvl w:ilvl="0" w:tplc="73F26642">
      <w:start w:val="1"/>
      <w:numFmt w:val="bullet"/>
      <w:lvlText w:val="•"/>
      <w:lvlJc w:val="left"/>
      <w:pPr>
        <w:tabs>
          <w:tab w:val="num" w:pos="159"/>
        </w:tabs>
        <w:ind w:left="159" w:hanging="360"/>
      </w:pPr>
      <w:rPr>
        <w:rFonts w:ascii="Times New Roman" w:hAnsi="Times New Roman" w:hint="default"/>
      </w:rPr>
    </w:lvl>
    <w:lvl w:ilvl="1" w:tplc="814489C0" w:tentative="1">
      <w:start w:val="1"/>
      <w:numFmt w:val="bullet"/>
      <w:lvlText w:val="•"/>
      <w:lvlJc w:val="left"/>
      <w:pPr>
        <w:tabs>
          <w:tab w:val="num" w:pos="879"/>
        </w:tabs>
        <w:ind w:left="879" w:hanging="360"/>
      </w:pPr>
      <w:rPr>
        <w:rFonts w:ascii="Times New Roman" w:hAnsi="Times New Roman" w:hint="default"/>
      </w:rPr>
    </w:lvl>
    <w:lvl w:ilvl="2" w:tplc="26A4B372" w:tentative="1">
      <w:start w:val="1"/>
      <w:numFmt w:val="bullet"/>
      <w:lvlText w:val="•"/>
      <w:lvlJc w:val="left"/>
      <w:pPr>
        <w:tabs>
          <w:tab w:val="num" w:pos="1599"/>
        </w:tabs>
        <w:ind w:left="1599" w:hanging="360"/>
      </w:pPr>
      <w:rPr>
        <w:rFonts w:ascii="Times New Roman" w:hAnsi="Times New Roman" w:hint="default"/>
      </w:rPr>
    </w:lvl>
    <w:lvl w:ilvl="3" w:tplc="9EDCFA48" w:tentative="1">
      <w:start w:val="1"/>
      <w:numFmt w:val="bullet"/>
      <w:lvlText w:val="•"/>
      <w:lvlJc w:val="left"/>
      <w:pPr>
        <w:tabs>
          <w:tab w:val="num" w:pos="2319"/>
        </w:tabs>
        <w:ind w:left="2319" w:hanging="360"/>
      </w:pPr>
      <w:rPr>
        <w:rFonts w:ascii="Times New Roman" w:hAnsi="Times New Roman" w:hint="default"/>
      </w:rPr>
    </w:lvl>
    <w:lvl w:ilvl="4" w:tplc="4FC810AA" w:tentative="1">
      <w:start w:val="1"/>
      <w:numFmt w:val="bullet"/>
      <w:lvlText w:val="•"/>
      <w:lvlJc w:val="left"/>
      <w:pPr>
        <w:tabs>
          <w:tab w:val="num" w:pos="3039"/>
        </w:tabs>
        <w:ind w:left="3039" w:hanging="360"/>
      </w:pPr>
      <w:rPr>
        <w:rFonts w:ascii="Times New Roman" w:hAnsi="Times New Roman" w:hint="default"/>
      </w:rPr>
    </w:lvl>
    <w:lvl w:ilvl="5" w:tplc="A58A1976" w:tentative="1">
      <w:start w:val="1"/>
      <w:numFmt w:val="bullet"/>
      <w:lvlText w:val="•"/>
      <w:lvlJc w:val="left"/>
      <w:pPr>
        <w:tabs>
          <w:tab w:val="num" w:pos="3759"/>
        </w:tabs>
        <w:ind w:left="3759" w:hanging="360"/>
      </w:pPr>
      <w:rPr>
        <w:rFonts w:ascii="Times New Roman" w:hAnsi="Times New Roman" w:hint="default"/>
      </w:rPr>
    </w:lvl>
    <w:lvl w:ilvl="6" w:tplc="0B6EF27C" w:tentative="1">
      <w:start w:val="1"/>
      <w:numFmt w:val="bullet"/>
      <w:lvlText w:val="•"/>
      <w:lvlJc w:val="left"/>
      <w:pPr>
        <w:tabs>
          <w:tab w:val="num" w:pos="4479"/>
        </w:tabs>
        <w:ind w:left="4479" w:hanging="360"/>
      </w:pPr>
      <w:rPr>
        <w:rFonts w:ascii="Times New Roman" w:hAnsi="Times New Roman" w:hint="default"/>
      </w:rPr>
    </w:lvl>
    <w:lvl w:ilvl="7" w:tplc="482E5B66" w:tentative="1">
      <w:start w:val="1"/>
      <w:numFmt w:val="bullet"/>
      <w:lvlText w:val="•"/>
      <w:lvlJc w:val="left"/>
      <w:pPr>
        <w:tabs>
          <w:tab w:val="num" w:pos="5199"/>
        </w:tabs>
        <w:ind w:left="5199" w:hanging="360"/>
      </w:pPr>
      <w:rPr>
        <w:rFonts w:ascii="Times New Roman" w:hAnsi="Times New Roman" w:hint="default"/>
      </w:rPr>
    </w:lvl>
    <w:lvl w:ilvl="8" w:tplc="D74C1564" w:tentative="1">
      <w:start w:val="1"/>
      <w:numFmt w:val="bullet"/>
      <w:lvlText w:val="•"/>
      <w:lvlJc w:val="left"/>
      <w:pPr>
        <w:tabs>
          <w:tab w:val="num" w:pos="5919"/>
        </w:tabs>
        <w:ind w:left="5919" w:hanging="360"/>
      </w:pPr>
      <w:rPr>
        <w:rFonts w:ascii="Times New Roman" w:hAnsi="Times New Roman" w:hint="default"/>
      </w:rPr>
    </w:lvl>
  </w:abstractNum>
  <w:abstractNum w:abstractNumId="3" w15:restartNumberingAfterBreak="0">
    <w:nsid w:val="779F5CA0"/>
    <w:multiLevelType w:val="hybridMultilevel"/>
    <w:tmpl w:val="43F43BB0"/>
    <w:lvl w:ilvl="0" w:tplc="18B8A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EAE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F057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569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443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2A3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342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CA3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0884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documentProtection w:edit="trackedChanges" w:enforcement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A5"/>
    <w:rsid w:val="0006029F"/>
    <w:rsid w:val="00096B3B"/>
    <w:rsid w:val="0014673F"/>
    <w:rsid w:val="00157C3D"/>
    <w:rsid w:val="002047BD"/>
    <w:rsid w:val="00205B9F"/>
    <w:rsid w:val="002A11EB"/>
    <w:rsid w:val="002A3E2B"/>
    <w:rsid w:val="002A7E06"/>
    <w:rsid w:val="0034048C"/>
    <w:rsid w:val="003408AE"/>
    <w:rsid w:val="00344116"/>
    <w:rsid w:val="003E042C"/>
    <w:rsid w:val="004A0788"/>
    <w:rsid w:val="004B5446"/>
    <w:rsid w:val="004C5006"/>
    <w:rsid w:val="00597350"/>
    <w:rsid w:val="005A13F5"/>
    <w:rsid w:val="005A5479"/>
    <w:rsid w:val="005E7205"/>
    <w:rsid w:val="0063407F"/>
    <w:rsid w:val="00706351"/>
    <w:rsid w:val="00757C6A"/>
    <w:rsid w:val="00775967"/>
    <w:rsid w:val="00785C4C"/>
    <w:rsid w:val="00794A51"/>
    <w:rsid w:val="007A6713"/>
    <w:rsid w:val="007B63A5"/>
    <w:rsid w:val="007E4EA5"/>
    <w:rsid w:val="007F4E4C"/>
    <w:rsid w:val="00850701"/>
    <w:rsid w:val="00854D5D"/>
    <w:rsid w:val="009570DF"/>
    <w:rsid w:val="0096451A"/>
    <w:rsid w:val="009F1542"/>
    <w:rsid w:val="009F246A"/>
    <w:rsid w:val="009F519D"/>
    <w:rsid w:val="00A04222"/>
    <w:rsid w:val="00A30B5F"/>
    <w:rsid w:val="00A46C09"/>
    <w:rsid w:val="00AD27BE"/>
    <w:rsid w:val="00AD409B"/>
    <w:rsid w:val="00AD7963"/>
    <w:rsid w:val="00B47CEE"/>
    <w:rsid w:val="00BB2E09"/>
    <w:rsid w:val="00BC044E"/>
    <w:rsid w:val="00BF4891"/>
    <w:rsid w:val="00BF6FA9"/>
    <w:rsid w:val="00C01FBE"/>
    <w:rsid w:val="00C2368F"/>
    <w:rsid w:val="00C23909"/>
    <w:rsid w:val="00C46F57"/>
    <w:rsid w:val="00CA6976"/>
    <w:rsid w:val="00CB2442"/>
    <w:rsid w:val="00CF6C78"/>
    <w:rsid w:val="00D0585C"/>
    <w:rsid w:val="00D10A6F"/>
    <w:rsid w:val="00D50DDB"/>
    <w:rsid w:val="00D87C3D"/>
    <w:rsid w:val="00D94C76"/>
    <w:rsid w:val="00DB5606"/>
    <w:rsid w:val="00DE1CE5"/>
    <w:rsid w:val="00E31C61"/>
    <w:rsid w:val="00E66DCD"/>
    <w:rsid w:val="00E930AD"/>
    <w:rsid w:val="00E94064"/>
    <w:rsid w:val="00E962F3"/>
    <w:rsid w:val="00EB50AE"/>
    <w:rsid w:val="00EB61D9"/>
    <w:rsid w:val="00EF5594"/>
    <w:rsid w:val="00EF7DA0"/>
    <w:rsid w:val="00F20FFC"/>
    <w:rsid w:val="00F43BD6"/>
    <w:rsid w:val="00F45FAD"/>
    <w:rsid w:val="00F82F7D"/>
    <w:rsid w:val="00FA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;"/>
  <w14:docId w14:val="0B926661"/>
  <w15:docId w15:val="{63036E85-5EAC-4D39-B3EB-6D67DDE2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E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C239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909"/>
  </w:style>
  <w:style w:type="paragraph" w:styleId="Footer">
    <w:name w:val="footer"/>
    <w:basedOn w:val="Normal"/>
    <w:link w:val="FooterChar"/>
    <w:uiPriority w:val="99"/>
    <w:unhideWhenUsed/>
    <w:rsid w:val="00C239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909"/>
  </w:style>
  <w:style w:type="paragraph" w:styleId="BalloonText">
    <w:name w:val="Balloon Text"/>
    <w:basedOn w:val="Normal"/>
    <w:link w:val="BalloonTextChar"/>
    <w:uiPriority w:val="99"/>
    <w:semiHidden/>
    <w:unhideWhenUsed/>
    <w:rsid w:val="0014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3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570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70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70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70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70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3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39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60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7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8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1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1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1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28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1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3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3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1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1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5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8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9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4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2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Auniņa</dc:creator>
  <cp:keywords/>
  <dc:description/>
  <cp:lastModifiedBy>Aļesja Boriseviča</cp:lastModifiedBy>
  <cp:revision>52</cp:revision>
  <cp:lastPrinted>2017-08-18T11:04:00Z</cp:lastPrinted>
  <dcterms:created xsi:type="dcterms:W3CDTF">2015-09-23T06:06:00Z</dcterms:created>
  <dcterms:modified xsi:type="dcterms:W3CDTF">2017-08-22T08:57:00Z</dcterms:modified>
</cp:coreProperties>
</file>